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kern w:val="0"/>
          <w:sz w:val="28"/>
        </w:rPr>
      </w:pPr>
      <w:bookmarkStart w:id="0" w:name="_GoBack"/>
      <w:bookmarkEnd w:id="0"/>
    </w:p>
    <w:p>
      <w:pPr>
        <w:pStyle w:val="0"/>
        <w:rPr>
          <w:rFonts w:hint="default" w:ascii="メイリオ" w:hAnsi="メイリオ" w:eastAsia="メイリオ"/>
          <w:kern w:val="0"/>
          <w:sz w:val="24"/>
        </w:rPr>
      </w:pPr>
    </w:p>
    <w:p>
      <w:pPr>
        <w:pStyle w:val="0"/>
        <w:rPr>
          <w:rFonts w:hint="default" w:ascii="メイリオ" w:hAnsi="メイリオ" w:eastAsia="メイリオ"/>
          <w:kern w:val="0"/>
          <w:sz w:val="28"/>
        </w:rPr>
      </w:pPr>
    </w:p>
    <w:p>
      <w:pPr>
        <w:pStyle w:val="0"/>
        <w:rPr>
          <w:rFonts w:hint="default" w:ascii="メイリオ" w:hAnsi="メイリオ" w:eastAsia="メイリオ"/>
          <w:kern w:val="0"/>
          <w:sz w:val="28"/>
        </w:rPr>
      </w:pPr>
    </w:p>
    <w:p>
      <w:pPr>
        <w:pStyle w:val="0"/>
        <w:rPr>
          <w:rFonts w:hint="default" w:ascii="メイリオ" w:hAnsi="メイリオ" w:eastAsia="メイリオ"/>
          <w:kern w:val="0"/>
          <w:sz w:val="28"/>
        </w:rPr>
      </w:pPr>
      <w:r>
        <w:rPr>
          <w:rFonts w:hint="default"/>
        </w:rPr>
        <mc:AlternateContent>
          <mc:Choice Requires="wps">
            <w:drawing>
              <wp:anchor distT="0" distB="0" distL="114300" distR="114300" simplePos="0" relativeHeight="22" behindDoc="0" locked="0" layoutInCell="1" hidden="0" allowOverlap="1">
                <wp:simplePos x="0" y="0"/>
                <wp:positionH relativeFrom="column">
                  <wp:posOffset>0</wp:posOffset>
                </wp:positionH>
                <wp:positionV relativeFrom="paragraph">
                  <wp:posOffset>0</wp:posOffset>
                </wp:positionV>
                <wp:extent cx="6120130" cy="1383030"/>
                <wp:effectExtent l="0" t="0" r="635" b="635"/>
                <wp:wrapNone/>
                <wp:docPr id="1026" name="Text Box 6"/>
                <a:graphic xmlns:a="http://schemas.openxmlformats.org/drawingml/2006/main">
                  <a:graphicData uri="http://schemas.microsoft.com/office/word/2010/wordprocessingShape">
                    <wps:wsp>
                      <wps:cNvPr id="1026" name="Text Box 6"/>
                      <wps:cNvSpPr txBox="1">
                        <a:spLocks noChangeArrowheads="1"/>
                      </wps:cNvSpPr>
                      <wps:spPr>
                        <a:xfrm>
                          <a:off x="0" y="0"/>
                          <a:ext cx="6120130" cy="1383030"/>
                        </a:xfrm>
                        <a:prstGeom prst="rect">
                          <a:avLst/>
                        </a:prstGeom>
                        <a:noFill/>
                        <a:ln>
                          <a:noFill/>
                        </a:ln>
                      </wps:spPr>
                      <wps:txbx>
                        <w:txbxContent>
                          <w:p>
                            <w:pPr>
                              <w:pStyle w:val="0"/>
                              <w:spacing w:line="760" w:lineRule="exact"/>
                              <w:jc w:val="center"/>
                              <w:rPr>
                                <w:rFonts w:hint="default" w:ascii="游ゴシック" w:hAnsi="游ゴシック" w:eastAsia="游ゴシック"/>
                                <w:sz w:val="72"/>
                              </w:rPr>
                            </w:pPr>
                            <w:r>
                              <w:rPr>
                                <w:rFonts w:hint="eastAsia" w:ascii="游ゴシック" w:hAnsi="游ゴシック" w:eastAsia="游ゴシック"/>
                                <w:sz w:val="72"/>
                              </w:rPr>
                              <w:t>令和元年度</w:t>
                            </w:r>
                          </w:p>
                          <w:p>
                            <w:pPr>
                              <w:pStyle w:val="0"/>
                              <w:spacing w:line="760" w:lineRule="exact"/>
                              <w:jc w:val="center"/>
                              <w:rPr>
                                <w:rFonts w:hint="default" w:ascii="游ゴシック" w:hAnsi="游ゴシック" w:eastAsia="游ゴシック"/>
                                <w:sz w:val="72"/>
                              </w:rPr>
                            </w:pPr>
                            <w:r>
                              <w:rPr>
                                <w:rFonts w:hint="eastAsia" w:ascii="游ゴシック" w:hAnsi="游ゴシック" w:eastAsia="游ゴシック"/>
                                <w:sz w:val="72"/>
                              </w:rPr>
                              <w:t>占冠村</w:t>
                            </w:r>
                          </w:p>
                          <w:p>
                            <w:pPr>
                              <w:pStyle w:val="0"/>
                              <w:spacing w:line="760" w:lineRule="exact"/>
                              <w:jc w:val="center"/>
                              <w:rPr>
                                <w:rFonts w:hint="default" w:ascii="游ゴシック" w:hAnsi="游ゴシック" w:eastAsia="游ゴシック"/>
                                <w:sz w:val="72"/>
                              </w:rPr>
                            </w:pPr>
                            <w:r>
                              <w:rPr>
                                <w:rFonts w:hint="default" w:ascii="游ゴシック" w:hAnsi="游ゴシック" w:eastAsia="游ゴシック"/>
                                <w:sz w:val="72"/>
                              </w:rPr>
                              <w:t>財務書類</w:t>
                            </w:r>
                            <w:r>
                              <w:rPr>
                                <w:rFonts w:hint="eastAsia" w:ascii="游ゴシック" w:hAnsi="游ゴシック" w:eastAsia="游ゴシック"/>
                                <w:sz w:val="72"/>
                              </w:rPr>
                              <w:t>作成報告書</w:t>
                            </w:r>
                          </w:p>
                          <w:p>
                            <w:pPr>
                              <w:pStyle w:val="0"/>
                              <w:spacing w:line="760" w:lineRule="exact"/>
                              <w:jc w:val="center"/>
                              <w:rPr>
                                <w:rFonts w:hint="default" w:ascii="游ゴシック" w:hAnsi="游ゴシック" w:eastAsia="游ゴシック"/>
                                <w:sz w:val="72"/>
                              </w:rPr>
                            </w:pP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mso-wrap-distance-right:9pt;mso-wrap-distance-bottom:0pt;margin-top:0pt;mso-position-vertical-relative:text;mso-position-horizontal-relative:text;v-text-anchor:top;position:absolute;height:108.9pt;mso-wrap-distance-top:0pt;width:481.9pt;mso-wrap-distance-left:9pt;margin-left:0pt;z-index:22;" o:spid="_x0000_s1026" o:allowincell="t" o:allowoverlap="t" filled="f" stroked="f" o:spt="202" type="#_x0000_t202">
                <v:fill/>
                <v:textbox style="layout-flow:horizontal;" inset="0mm,0mm,0mm,0mm">
                  <w:txbxContent>
                    <w:p>
                      <w:pPr>
                        <w:pStyle w:val="0"/>
                        <w:spacing w:line="760" w:lineRule="exact"/>
                        <w:jc w:val="center"/>
                        <w:rPr>
                          <w:rFonts w:hint="default" w:ascii="游ゴシック" w:hAnsi="游ゴシック" w:eastAsia="游ゴシック"/>
                          <w:sz w:val="72"/>
                        </w:rPr>
                      </w:pPr>
                      <w:r>
                        <w:rPr>
                          <w:rFonts w:hint="eastAsia" w:ascii="游ゴシック" w:hAnsi="游ゴシック" w:eastAsia="游ゴシック"/>
                          <w:sz w:val="72"/>
                        </w:rPr>
                        <w:t>令和元年度</w:t>
                      </w:r>
                    </w:p>
                    <w:p>
                      <w:pPr>
                        <w:pStyle w:val="0"/>
                        <w:spacing w:line="760" w:lineRule="exact"/>
                        <w:jc w:val="center"/>
                        <w:rPr>
                          <w:rFonts w:hint="default" w:ascii="游ゴシック" w:hAnsi="游ゴシック" w:eastAsia="游ゴシック"/>
                          <w:sz w:val="72"/>
                        </w:rPr>
                      </w:pPr>
                      <w:r>
                        <w:rPr>
                          <w:rFonts w:hint="eastAsia" w:ascii="游ゴシック" w:hAnsi="游ゴシック" w:eastAsia="游ゴシック"/>
                          <w:sz w:val="72"/>
                        </w:rPr>
                        <w:t>占冠村</w:t>
                      </w:r>
                    </w:p>
                    <w:p>
                      <w:pPr>
                        <w:pStyle w:val="0"/>
                        <w:spacing w:line="760" w:lineRule="exact"/>
                        <w:jc w:val="center"/>
                        <w:rPr>
                          <w:rFonts w:hint="default" w:ascii="游ゴシック" w:hAnsi="游ゴシック" w:eastAsia="游ゴシック"/>
                          <w:sz w:val="72"/>
                        </w:rPr>
                      </w:pPr>
                      <w:r>
                        <w:rPr>
                          <w:rFonts w:hint="default" w:ascii="游ゴシック" w:hAnsi="游ゴシック" w:eastAsia="游ゴシック"/>
                          <w:sz w:val="72"/>
                        </w:rPr>
                        <w:t>財務書類</w:t>
                      </w:r>
                      <w:r>
                        <w:rPr>
                          <w:rFonts w:hint="eastAsia" w:ascii="游ゴシック" w:hAnsi="游ゴシック" w:eastAsia="游ゴシック"/>
                          <w:sz w:val="72"/>
                        </w:rPr>
                        <w:t>作成報告書</w:t>
                      </w:r>
                    </w:p>
                    <w:p>
                      <w:pPr>
                        <w:pStyle w:val="0"/>
                        <w:spacing w:line="760" w:lineRule="exact"/>
                        <w:jc w:val="center"/>
                        <w:rPr>
                          <w:rFonts w:hint="default" w:ascii="游ゴシック" w:hAnsi="游ゴシック" w:eastAsia="游ゴシック"/>
                          <w:sz w:val="72"/>
                        </w:rPr>
                      </w:pPr>
                    </w:p>
                  </w:txbxContent>
                </v:textbox>
                <v:imagedata o:title=""/>
                <w10:wrap type="none" anchorx="text" anchory="text"/>
              </v:shape>
            </w:pict>
          </mc:Fallback>
        </mc:AlternateContent>
      </w:r>
    </w:p>
    <w:p>
      <w:pPr>
        <w:pStyle w:val="0"/>
        <w:rPr>
          <w:rFonts w:hint="default" w:ascii="メイリオ" w:hAnsi="メイリオ" w:eastAsia="メイリオ"/>
          <w:kern w:val="0"/>
          <w:sz w:val="28"/>
        </w:rPr>
      </w:pPr>
    </w:p>
    <w:p>
      <w:pPr>
        <w:pStyle w:val="0"/>
        <w:rPr>
          <w:rFonts w:hint="default" w:ascii="メイリオ" w:hAnsi="メイリオ" w:eastAsia="メイリオ"/>
          <w:kern w:val="0"/>
          <w:sz w:val="28"/>
        </w:rPr>
      </w:pPr>
    </w:p>
    <w:p>
      <w:pPr>
        <w:pStyle w:val="0"/>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rPr>
          <w:rFonts w:hint="default" w:ascii="メイリオ" w:hAnsi="メイリオ" w:eastAsia="メイリオ"/>
          <w:kern w:val="0"/>
          <w:sz w:val="28"/>
        </w:rPr>
      </w:pPr>
    </w:p>
    <w:p>
      <w:pPr>
        <w:pStyle w:val="0"/>
        <w:rPr>
          <w:rFonts w:hint="default" w:ascii="メイリオ" w:hAnsi="メイリオ" w:eastAsia="メイリオ"/>
          <w:kern w:val="0"/>
          <w:sz w:val="28"/>
        </w:rPr>
      </w:pPr>
    </w:p>
    <w:p>
      <w:pPr>
        <w:pStyle w:val="0"/>
        <w:jc w:val="center"/>
        <w:rPr>
          <w:rFonts w:hint="default" w:ascii="メイリオ" w:hAnsi="メイリオ" w:eastAsia="メイリオ"/>
          <w:kern w:val="0"/>
          <w:sz w:val="28"/>
        </w:rPr>
      </w:pPr>
      <w:r>
        <w:rPr>
          <w:rFonts w:hint="eastAsia" w:ascii="メイリオ" w:hAnsi="メイリオ" w:eastAsia="メイリオ"/>
          <w:kern w:val="0"/>
          <w:sz w:val="28"/>
        </w:rPr>
        <w:t>占冠村総務課</w:t>
      </w:r>
      <w:r>
        <w:rPr>
          <w:rFonts w:hint="default" w:ascii="メイリオ" w:hAnsi="メイリオ" w:eastAsia="メイリオ"/>
          <w:kern w:val="0"/>
          <w:sz w:val="28"/>
        </w:rPr>
        <w:br w:type="page"/>
      </w:r>
    </w:p>
    <w:p>
      <w:pPr>
        <w:pStyle w:val="0"/>
        <w:jc w:val="center"/>
        <w:rPr>
          <w:rFonts w:hint="default" w:ascii="ＭＳ Ｐゴシック" w:hAnsi="ＭＳ Ｐゴシック" w:eastAsia="ＭＳ Ｐゴシック"/>
          <w:b w:val="1"/>
          <w:color w:val="002060"/>
          <w:kern w:val="0"/>
          <w:sz w:val="32"/>
        </w:rPr>
      </w:pPr>
      <w:r>
        <w:rPr>
          <w:rFonts w:hint="eastAsia" w:ascii="ＭＳ Ｐゴシック" w:hAnsi="ＭＳ Ｐゴシック" w:eastAsia="ＭＳ Ｐゴシック"/>
          <w:b w:val="1"/>
          <w:color w:val="002060"/>
          <w:kern w:val="0"/>
          <w:sz w:val="32"/>
        </w:rPr>
        <w:t>―目　　次―</w:t>
      </w:r>
    </w:p>
    <w:p>
      <w:pPr>
        <w:pStyle w:val="0"/>
        <w:spacing w:after="180" w:afterLines="50" w:afterAutospacing="0" w:line="520" w:lineRule="exact"/>
        <w:jc w:val="distribute"/>
        <w:rPr>
          <w:rFonts w:hint="default" w:ascii="ＭＳ Ｐゴシック" w:hAnsi="ＭＳ Ｐゴシック" w:eastAsia="ＭＳ Ｐゴシック"/>
          <w:b w:val="1"/>
          <w:color w:val="0070C0"/>
          <w:kern w:val="0"/>
          <w:sz w:val="32"/>
        </w:rPr>
      </w:pPr>
      <w:r>
        <w:rPr>
          <w:rFonts w:hint="eastAsia" w:ascii="ＭＳ Ｐゴシック" w:hAnsi="ＭＳ Ｐゴシック" w:eastAsia="ＭＳ Ｐゴシック"/>
          <w:b w:val="1"/>
          <w:color w:val="0070C0"/>
          <w:kern w:val="0"/>
          <w:sz w:val="32"/>
        </w:rPr>
        <w:t>１．地方公会計の概要…………………………………………………１</w:t>
      </w:r>
    </w:p>
    <w:p>
      <w:pPr>
        <w:pStyle w:val="0"/>
        <w:spacing w:line="520" w:lineRule="exact"/>
        <w:ind w:firstLine="281" w:firstLineChars="100"/>
        <w:jc w:val="distribute"/>
        <w:rPr>
          <w:rFonts w:hint="default" w:ascii="ＭＳ Ｐゴシック" w:hAnsi="ＭＳ Ｐゴシック" w:eastAsia="ＭＳ Ｐゴシック"/>
          <w:b w:val="1"/>
          <w:sz w:val="28"/>
        </w:rPr>
      </w:pPr>
      <w:r>
        <w:rPr>
          <w:rFonts w:hint="eastAsia" w:ascii="ＭＳ Ｐゴシック" w:hAnsi="ＭＳ Ｐゴシック" w:eastAsia="ＭＳ Ｐゴシック"/>
          <w:b w:val="1"/>
          <w:color w:val="ED7D31" w:themeColor="accent2"/>
          <w:sz w:val="28"/>
        </w:rPr>
        <w:t>（１）</w:t>
      </w:r>
      <w:r>
        <w:rPr>
          <w:rFonts w:hint="eastAsia" w:ascii="ＭＳ Ｐゴシック" w:hAnsi="ＭＳ Ｐゴシック" w:eastAsia="ＭＳ Ｐゴシック"/>
          <w:b w:val="1"/>
          <w:sz w:val="28"/>
        </w:rPr>
        <w:t>地方公会計制度導入の目的</w:t>
      </w:r>
      <w:r>
        <w:rPr>
          <w:rFonts w:hint="eastAsia" w:ascii="ＭＳ Ｐゴシック" w:hAnsi="ＭＳ Ｐゴシック" w:eastAsia="ＭＳ Ｐゴシック"/>
          <w:b w:val="1"/>
          <w:kern w:val="0"/>
          <w:sz w:val="28"/>
        </w:rPr>
        <w:t>………………………………………………</w:t>
      </w:r>
      <w:r>
        <w:rPr>
          <w:rFonts w:hint="eastAsia" w:ascii="ＭＳ Ｐゴシック" w:hAnsi="ＭＳ Ｐゴシック" w:eastAsia="ＭＳ Ｐゴシック"/>
          <w:b w:val="1"/>
          <w:sz w:val="28"/>
        </w:rPr>
        <w:t>１</w:t>
      </w:r>
    </w:p>
    <w:p>
      <w:pPr>
        <w:pStyle w:val="0"/>
        <w:spacing w:line="520" w:lineRule="exact"/>
        <w:ind w:firstLine="281" w:firstLineChars="100"/>
        <w:jc w:val="distribute"/>
        <w:rPr>
          <w:rFonts w:hint="default" w:ascii="ＭＳ Ｐゴシック" w:hAnsi="ＭＳ Ｐゴシック" w:eastAsia="ＭＳ Ｐゴシック"/>
          <w:b w:val="1"/>
          <w:sz w:val="28"/>
        </w:rPr>
      </w:pPr>
      <w:r>
        <w:rPr>
          <w:rFonts w:hint="eastAsia" w:ascii="ＭＳ Ｐゴシック" w:hAnsi="ＭＳ Ｐゴシック" w:eastAsia="ＭＳ Ｐゴシック"/>
          <w:b w:val="1"/>
          <w:color w:val="ED7D31" w:themeColor="accent2"/>
          <w:sz w:val="28"/>
        </w:rPr>
        <w:t>（２）</w:t>
      </w:r>
      <w:r>
        <w:rPr>
          <w:rFonts w:hint="eastAsia" w:ascii="ＭＳ Ｐゴシック" w:hAnsi="ＭＳ Ｐゴシック" w:eastAsia="ＭＳ Ｐゴシック"/>
          <w:b w:val="1"/>
          <w:sz w:val="28"/>
        </w:rPr>
        <w:t>官庁会計と地方公会計制度の違い</w:t>
      </w:r>
      <w:r>
        <w:rPr>
          <w:rFonts w:hint="eastAsia" w:ascii="ＭＳ Ｐゴシック" w:hAnsi="ＭＳ Ｐゴシック" w:eastAsia="ＭＳ Ｐゴシック"/>
          <w:b w:val="1"/>
          <w:kern w:val="0"/>
          <w:sz w:val="28"/>
        </w:rPr>
        <w:t>………………………………………</w:t>
      </w:r>
      <w:r>
        <w:rPr>
          <w:rFonts w:hint="eastAsia" w:ascii="ＭＳ Ｐゴシック" w:hAnsi="ＭＳ Ｐゴシック" w:eastAsia="ＭＳ Ｐゴシック"/>
          <w:b w:val="1"/>
          <w:sz w:val="28"/>
        </w:rPr>
        <w:t>１</w:t>
      </w:r>
    </w:p>
    <w:p>
      <w:pPr>
        <w:pStyle w:val="0"/>
        <w:spacing w:line="520" w:lineRule="exact"/>
        <w:ind w:firstLine="281" w:firstLineChars="100"/>
        <w:jc w:val="distribute"/>
        <w:rPr>
          <w:rFonts w:hint="default" w:ascii="ＭＳ Ｐゴシック" w:hAnsi="ＭＳ Ｐゴシック" w:eastAsia="ＭＳ Ｐゴシック"/>
          <w:b w:val="1"/>
          <w:sz w:val="28"/>
        </w:rPr>
      </w:pPr>
      <w:r>
        <w:rPr>
          <w:rFonts w:hint="eastAsia" w:ascii="ＭＳ Ｐゴシック" w:hAnsi="ＭＳ Ｐゴシック" w:eastAsia="ＭＳ Ｐゴシック"/>
          <w:b w:val="1"/>
          <w:color w:val="ED7D31" w:themeColor="accent2"/>
          <w:sz w:val="28"/>
        </w:rPr>
        <w:t>（３）</w:t>
      </w:r>
      <w:r>
        <w:rPr>
          <w:rFonts w:hint="eastAsia" w:ascii="ＭＳ Ｐゴシック" w:hAnsi="ＭＳ Ｐゴシック" w:eastAsia="ＭＳ Ｐゴシック"/>
          <w:b w:val="1"/>
          <w:sz w:val="28"/>
        </w:rPr>
        <w:t>民間の企業会計と公会計の違い</w:t>
      </w:r>
      <w:r>
        <w:rPr>
          <w:rFonts w:hint="eastAsia" w:ascii="ＭＳ Ｐゴシック" w:hAnsi="ＭＳ Ｐゴシック" w:eastAsia="ＭＳ Ｐゴシック"/>
          <w:b w:val="1"/>
          <w:kern w:val="0"/>
          <w:sz w:val="28"/>
        </w:rPr>
        <w:t>……………………………………………</w:t>
      </w:r>
      <w:r>
        <w:rPr>
          <w:rFonts w:hint="eastAsia" w:ascii="ＭＳ Ｐゴシック" w:hAnsi="ＭＳ Ｐゴシック" w:eastAsia="ＭＳ Ｐゴシック"/>
          <w:b w:val="1"/>
          <w:sz w:val="28"/>
        </w:rPr>
        <w:t>１</w:t>
      </w:r>
    </w:p>
    <w:p>
      <w:pPr>
        <w:pStyle w:val="0"/>
        <w:spacing w:line="520" w:lineRule="exact"/>
        <w:ind w:firstLine="281" w:firstLineChars="100"/>
        <w:jc w:val="distribute"/>
        <w:rPr>
          <w:rFonts w:hint="default" w:ascii="ＭＳ Ｐゴシック" w:hAnsi="ＭＳ Ｐゴシック" w:eastAsia="ＭＳ Ｐゴシック"/>
          <w:b w:val="1"/>
          <w:sz w:val="28"/>
        </w:rPr>
      </w:pPr>
      <w:r>
        <w:rPr>
          <w:rFonts w:hint="eastAsia" w:ascii="ＭＳ Ｐゴシック" w:hAnsi="ＭＳ Ｐゴシック" w:eastAsia="ＭＳ Ｐゴシック"/>
          <w:b w:val="1"/>
          <w:color w:val="ED7D31" w:themeColor="accent2"/>
          <w:sz w:val="28"/>
        </w:rPr>
        <w:t>（４）</w:t>
      </w:r>
      <w:r>
        <w:rPr>
          <w:rFonts w:hint="default" w:ascii="ＭＳ Ｐゴシック" w:hAnsi="ＭＳ Ｐゴシック" w:eastAsia="ＭＳ Ｐゴシック"/>
          <w:b w:val="1"/>
          <w:sz w:val="28"/>
        </w:rPr>
        <w:t>財務書類の内容</w:t>
      </w:r>
      <w:r>
        <w:rPr>
          <w:rFonts w:hint="eastAsia" w:ascii="ＭＳ Ｐゴシック" w:hAnsi="ＭＳ Ｐゴシック" w:eastAsia="ＭＳ Ｐゴシック"/>
          <w:b w:val="1"/>
          <w:kern w:val="0"/>
          <w:sz w:val="28"/>
        </w:rPr>
        <w:t>………</w:t>
      </w:r>
      <w:r>
        <w:rPr>
          <w:rFonts w:hint="default" w:ascii="ＭＳ Ｐゴシック" w:hAnsi="ＭＳ Ｐゴシック" w:eastAsia="ＭＳ Ｐゴシック"/>
          <w:b w:val="1"/>
          <w:sz w:val="28"/>
        </w:rPr>
        <w:t>………………………………………………………</w:t>
      </w:r>
      <w:r>
        <w:rPr>
          <w:rFonts w:hint="eastAsia" w:ascii="ＭＳ Ｐゴシック" w:hAnsi="ＭＳ Ｐゴシック" w:eastAsia="ＭＳ Ｐゴシック"/>
          <w:b w:val="1"/>
          <w:sz w:val="28"/>
        </w:rPr>
        <w:t>２</w:t>
      </w:r>
    </w:p>
    <w:p>
      <w:pPr>
        <w:pStyle w:val="0"/>
        <w:spacing w:before="180" w:beforeLines="50" w:beforeAutospacing="0" w:after="180" w:afterLines="50" w:afterAutospacing="0" w:line="520" w:lineRule="exact"/>
        <w:jc w:val="distribute"/>
        <w:rPr>
          <w:rFonts w:hint="default" w:ascii="ＭＳ Ｐゴシック" w:hAnsi="ＭＳ Ｐゴシック" w:eastAsia="ＭＳ Ｐゴシック"/>
          <w:b w:val="1"/>
          <w:color w:val="0070C0"/>
          <w:kern w:val="0"/>
          <w:sz w:val="32"/>
        </w:rPr>
      </w:pPr>
      <w:r>
        <w:rPr>
          <w:rFonts w:hint="eastAsia" w:ascii="ＭＳ Ｐゴシック" w:hAnsi="ＭＳ Ｐゴシック" w:eastAsia="ＭＳ Ｐゴシック"/>
          <w:b w:val="1"/>
          <w:color w:val="0070C0"/>
          <w:kern w:val="0"/>
          <w:sz w:val="32"/>
        </w:rPr>
        <w:t>２．令和元年度　占冠村財務書類　実数分析………………………４</w:t>
      </w:r>
    </w:p>
    <w:p>
      <w:pPr>
        <w:pStyle w:val="0"/>
        <w:spacing w:line="520" w:lineRule="exact"/>
        <w:ind w:firstLine="281" w:firstLineChars="100"/>
        <w:jc w:val="distribute"/>
        <w:rPr>
          <w:rFonts w:hint="default" w:ascii="ＭＳ Ｐゴシック" w:hAnsi="ＭＳ Ｐゴシック" w:eastAsia="ＭＳ Ｐゴシック"/>
          <w:b w:val="1"/>
          <w:kern w:val="0"/>
          <w:sz w:val="28"/>
        </w:rPr>
      </w:pPr>
      <w:r>
        <w:rPr>
          <w:rFonts w:hint="eastAsia" w:ascii="ＭＳ Ｐゴシック" w:hAnsi="ＭＳ Ｐゴシック" w:eastAsia="ＭＳ Ｐゴシック"/>
          <w:b w:val="1"/>
          <w:color w:val="ED7D31" w:themeColor="accent2"/>
          <w:kern w:val="0"/>
          <w:sz w:val="28"/>
        </w:rPr>
        <w:t>（１）</w:t>
      </w:r>
      <w:r>
        <w:rPr>
          <w:rFonts w:hint="eastAsia" w:ascii="ＭＳ Ｐゴシック" w:hAnsi="ＭＳ Ｐゴシック" w:eastAsia="ＭＳ Ｐゴシック"/>
          <w:b w:val="1"/>
          <w:kern w:val="0"/>
          <w:sz w:val="28"/>
        </w:rPr>
        <w:t>貸借対照表……………………………………………………………………４</w:t>
      </w:r>
    </w:p>
    <w:p>
      <w:pPr>
        <w:pStyle w:val="0"/>
        <w:spacing w:line="520" w:lineRule="exact"/>
        <w:ind w:firstLine="281" w:firstLineChars="100"/>
        <w:jc w:val="distribute"/>
        <w:rPr>
          <w:rFonts w:hint="default" w:ascii="ＭＳ Ｐゴシック" w:hAnsi="ＭＳ Ｐゴシック" w:eastAsia="ＭＳ Ｐゴシック"/>
          <w:b w:val="1"/>
          <w:kern w:val="0"/>
          <w:sz w:val="28"/>
        </w:rPr>
      </w:pPr>
      <w:r>
        <w:rPr>
          <w:rFonts w:hint="eastAsia" w:ascii="ＭＳ Ｐゴシック" w:hAnsi="ＭＳ Ｐゴシック" w:eastAsia="ＭＳ Ｐゴシック"/>
          <w:b w:val="1"/>
          <w:color w:val="ED7D31" w:themeColor="accent2"/>
          <w:kern w:val="0"/>
          <w:sz w:val="28"/>
        </w:rPr>
        <w:t>（２）</w:t>
      </w:r>
      <w:r>
        <w:rPr>
          <w:rFonts w:hint="eastAsia" w:ascii="ＭＳ Ｐゴシック" w:hAnsi="ＭＳ Ｐゴシック" w:eastAsia="ＭＳ Ｐゴシック"/>
          <w:b w:val="1"/>
          <w:kern w:val="0"/>
          <w:sz w:val="28"/>
        </w:rPr>
        <w:t>行政コスト計算書……………………………………………………………１２</w:t>
      </w:r>
    </w:p>
    <w:p>
      <w:pPr>
        <w:pStyle w:val="0"/>
        <w:spacing w:line="520" w:lineRule="exact"/>
        <w:ind w:firstLine="281" w:firstLineChars="100"/>
        <w:jc w:val="distribute"/>
        <w:rPr>
          <w:rFonts w:hint="default" w:ascii="ＭＳ Ｐゴシック" w:hAnsi="ＭＳ Ｐゴシック" w:eastAsia="ＭＳ Ｐゴシック"/>
          <w:b w:val="1"/>
          <w:kern w:val="0"/>
          <w:sz w:val="28"/>
        </w:rPr>
      </w:pPr>
      <w:r>
        <w:rPr>
          <w:rFonts w:hint="eastAsia" w:ascii="ＭＳ Ｐゴシック" w:hAnsi="ＭＳ Ｐゴシック" w:eastAsia="ＭＳ Ｐゴシック"/>
          <w:b w:val="1"/>
          <w:color w:val="ED7D31" w:themeColor="accent2"/>
          <w:kern w:val="0"/>
          <w:sz w:val="28"/>
        </w:rPr>
        <w:t>（３）</w:t>
      </w:r>
      <w:r>
        <w:rPr>
          <w:rFonts w:hint="eastAsia" w:ascii="ＭＳ Ｐゴシック" w:hAnsi="ＭＳ Ｐゴシック" w:eastAsia="ＭＳ Ｐゴシック"/>
          <w:b w:val="1"/>
          <w:kern w:val="0"/>
          <w:sz w:val="28"/>
        </w:rPr>
        <w:t>純資産変動計算書…………………………………………………………１７</w:t>
      </w:r>
    </w:p>
    <w:p>
      <w:pPr>
        <w:pStyle w:val="0"/>
        <w:spacing w:line="520" w:lineRule="exact"/>
        <w:ind w:firstLine="281" w:firstLineChars="100"/>
        <w:jc w:val="distribute"/>
        <w:rPr>
          <w:rFonts w:hint="default" w:ascii="ＭＳ Ｐゴシック" w:hAnsi="ＭＳ Ｐゴシック" w:eastAsia="ＭＳ Ｐゴシック"/>
          <w:b w:val="1"/>
          <w:kern w:val="0"/>
          <w:sz w:val="28"/>
        </w:rPr>
      </w:pPr>
      <w:r>
        <w:rPr>
          <w:rFonts w:hint="eastAsia" w:ascii="ＭＳ Ｐゴシック" w:hAnsi="ＭＳ Ｐゴシック" w:eastAsia="ＭＳ Ｐゴシック"/>
          <w:b w:val="1"/>
          <w:color w:val="ED7D31" w:themeColor="accent2"/>
          <w:kern w:val="0"/>
          <w:sz w:val="28"/>
        </w:rPr>
        <w:t>（４）</w:t>
      </w:r>
      <w:r>
        <w:rPr>
          <w:rFonts w:hint="eastAsia" w:ascii="ＭＳ Ｐゴシック" w:hAnsi="ＭＳ Ｐゴシック" w:eastAsia="ＭＳ Ｐゴシック"/>
          <w:b w:val="1"/>
          <w:kern w:val="0"/>
          <w:sz w:val="28"/>
        </w:rPr>
        <w:t>資金収支計算書……………………………………………………………１９</w:t>
      </w:r>
    </w:p>
    <w:p>
      <w:pPr>
        <w:pStyle w:val="0"/>
        <w:spacing w:before="180" w:beforeLines="50" w:beforeAutospacing="0" w:after="180" w:afterLines="50" w:afterAutospacing="0" w:line="520" w:lineRule="exact"/>
        <w:jc w:val="distribute"/>
        <w:rPr>
          <w:rFonts w:hint="default" w:ascii="ＭＳ Ｐゴシック" w:hAnsi="ＭＳ Ｐゴシック" w:eastAsia="ＭＳ Ｐゴシック"/>
          <w:b w:val="1"/>
          <w:color w:val="0070C0"/>
          <w:kern w:val="0"/>
          <w:sz w:val="32"/>
        </w:rPr>
      </w:pPr>
      <w:r>
        <w:rPr>
          <w:rFonts w:hint="eastAsia" w:ascii="ＭＳ Ｐゴシック" w:hAnsi="ＭＳ Ｐゴシック" w:eastAsia="ＭＳ Ｐゴシック"/>
          <w:b w:val="1"/>
          <w:color w:val="0070C0"/>
          <w:kern w:val="0"/>
          <w:sz w:val="32"/>
        </w:rPr>
        <w:t>３．令和元年度　占冠村財務分析（一般会計等）…………………２２</w:t>
      </w:r>
    </w:p>
    <w:p>
      <w:pPr>
        <w:pStyle w:val="0"/>
        <w:spacing w:line="520" w:lineRule="exact"/>
        <w:ind w:firstLine="281" w:firstLineChars="100"/>
        <w:jc w:val="distribute"/>
        <w:rPr>
          <w:rFonts w:hint="default" w:ascii="ＭＳ Ｐゴシック" w:hAnsi="ＭＳ Ｐゴシック" w:eastAsia="ＭＳ Ｐゴシック"/>
          <w:b w:val="1"/>
          <w:kern w:val="0"/>
          <w:sz w:val="28"/>
        </w:rPr>
      </w:pPr>
      <w:r>
        <w:rPr>
          <w:rFonts w:hint="eastAsia" w:ascii="ＭＳ Ｐゴシック" w:hAnsi="ＭＳ Ｐゴシック" w:eastAsia="ＭＳ Ｐゴシック"/>
          <w:b w:val="1"/>
          <w:color w:val="ED7D31" w:themeColor="accent2"/>
          <w:kern w:val="0"/>
          <w:sz w:val="28"/>
        </w:rPr>
        <w:t>（１）</w:t>
      </w:r>
      <w:r>
        <w:rPr>
          <w:rFonts w:hint="eastAsia" w:ascii="ＭＳ Ｐゴシック" w:hAnsi="ＭＳ Ｐゴシック" w:eastAsia="ＭＳ Ｐゴシック"/>
          <w:b w:val="1"/>
          <w:kern w:val="0"/>
          <w:sz w:val="28"/>
        </w:rPr>
        <w:t>純資産比率…………………………………………………………………２３</w:t>
      </w:r>
    </w:p>
    <w:p>
      <w:pPr>
        <w:pStyle w:val="0"/>
        <w:spacing w:line="520" w:lineRule="exact"/>
        <w:ind w:firstLine="281" w:firstLineChars="100"/>
        <w:jc w:val="distribute"/>
        <w:rPr>
          <w:rFonts w:hint="default" w:ascii="ＭＳ Ｐゴシック" w:hAnsi="ＭＳ Ｐゴシック" w:eastAsia="ＭＳ Ｐゴシック"/>
          <w:b w:val="1"/>
          <w:kern w:val="0"/>
          <w:sz w:val="28"/>
        </w:rPr>
      </w:pPr>
      <w:r>
        <w:rPr>
          <w:rFonts w:hint="eastAsia" w:ascii="ＭＳ Ｐゴシック" w:hAnsi="ＭＳ Ｐゴシック" w:eastAsia="ＭＳ Ｐゴシック"/>
          <w:b w:val="1"/>
          <w:color w:val="ED7D31" w:themeColor="accent2"/>
          <w:kern w:val="0"/>
          <w:sz w:val="28"/>
        </w:rPr>
        <w:t>（２）</w:t>
      </w:r>
      <w:r>
        <w:rPr>
          <w:rFonts w:hint="eastAsia" w:ascii="ＭＳ Ｐゴシック" w:hAnsi="ＭＳ Ｐゴシック" w:eastAsia="ＭＳ Ｐゴシック"/>
          <w:b w:val="1"/>
          <w:kern w:val="0"/>
          <w:sz w:val="28"/>
        </w:rPr>
        <w:t>住民一人当たりの資産額…………………………………………………２４</w:t>
      </w:r>
    </w:p>
    <w:p>
      <w:pPr>
        <w:pStyle w:val="0"/>
        <w:spacing w:line="520" w:lineRule="exact"/>
        <w:ind w:firstLine="281" w:firstLineChars="100"/>
        <w:jc w:val="distribute"/>
        <w:rPr>
          <w:rFonts w:hint="default" w:ascii="ＭＳ Ｐゴシック" w:hAnsi="ＭＳ Ｐゴシック" w:eastAsia="ＭＳ Ｐゴシック"/>
          <w:b w:val="1"/>
          <w:kern w:val="0"/>
          <w:sz w:val="28"/>
        </w:rPr>
      </w:pPr>
      <w:r>
        <w:rPr>
          <w:rFonts w:hint="eastAsia" w:ascii="ＭＳ Ｐゴシック" w:hAnsi="ＭＳ Ｐゴシック" w:eastAsia="ＭＳ Ｐゴシック"/>
          <w:b w:val="1"/>
          <w:color w:val="ED7D31" w:themeColor="accent2"/>
          <w:kern w:val="0"/>
          <w:sz w:val="28"/>
        </w:rPr>
        <w:t>（３）</w:t>
      </w:r>
      <w:r>
        <w:rPr>
          <w:rFonts w:hint="eastAsia" w:ascii="ＭＳ Ｐゴシック" w:hAnsi="ＭＳ Ｐゴシック" w:eastAsia="ＭＳ Ｐゴシック"/>
          <w:b w:val="1"/>
          <w:kern w:val="0"/>
          <w:sz w:val="28"/>
        </w:rPr>
        <w:t>住民一人当たりの負債額…………………………………………………２４</w:t>
      </w:r>
    </w:p>
    <w:p>
      <w:pPr>
        <w:pStyle w:val="0"/>
        <w:spacing w:line="520" w:lineRule="exact"/>
        <w:ind w:firstLine="281" w:firstLineChars="100"/>
        <w:jc w:val="distribute"/>
        <w:rPr>
          <w:rFonts w:hint="default" w:ascii="ＭＳ Ｐゴシック" w:hAnsi="ＭＳ Ｐゴシック" w:eastAsia="ＭＳ Ｐゴシック"/>
          <w:b w:val="1"/>
          <w:kern w:val="0"/>
          <w:sz w:val="28"/>
        </w:rPr>
      </w:pPr>
      <w:r>
        <w:rPr>
          <w:rFonts w:hint="eastAsia" w:ascii="ＭＳ Ｐゴシック" w:hAnsi="ＭＳ Ｐゴシック" w:eastAsia="ＭＳ Ｐゴシック"/>
          <w:b w:val="1"/>
          <w:color w:val="ED7D31" w:themeColor="accent2"/>
          <w:kern w:val="0"/>
          <w:sz w:val="28"/>
        </w:rPr>
        <w:t>（４）</w:t>
      </w:r>
      <w:r>
        <w:rPr>
          <w:rFonts w:hint="eastAsia" w:ascii="ＭＳ Ｐゴシック" w:hAnsi="ＭＳ Ｐゴシック" w:eastAsia="ＭＳ Ｐゴシック"/>
          <w:b w:val="1"/>
          <w:kern w:val="0"/>
          <w:sz w:val="28"/>
        </w:rPr>
        <w:t>資産老朽化比率……………………………………………………………２５</w:t>
      </w:r>
    </w:p>
    <w:p>
      <w:pPr>
        <w:pStyle w:val="0"/>
        <w:spacing w:line="520" w:lineRule="exact"/>
        <w:ind w:firstLine="281" w:firstLineChars="100"/>
        <w:jc w:val="distribute"/>
        <w:rPr>
          <w:rFonts w:hint="default" w:ascii="ＭＳ Ｐゴシック" w:hAnsi="ＭＳ Ｐゴシック" w:eastAsia="ＭＳ Ｐゴシック"/>
          <w:b w:val="1"/>
          <w:kern w:val="0"/>
          <w:sz w:val="28"/>
        </w:rPr>
      </w:pPr>
      <w:r>
        <w:rPr>
          <w:rFonts w:hint="eastAsia" w:ascii="ＭＳ Ｐゴシック" w:hAnsi="ＭＳ Ｐゴシック" w:eastAsia="ＭＳ Ｐゴシック"/>
          <w:b w:val="1"/>
          <w:color w:val="ED7D31" w:themeColor="accent2"/>
          <w:kern w:val="0"/>
          <w:sz w:val="28"/>
        </w:rPr>
        <w:t>（５）</w:t>
      </w:r>
      <w:r>
        <w:rPr>
          <w:rFonts w:hint="eastAsia" w:ascii="ＭＳ Ｐゴシック" w:hAnsi="ＭＳ Ｐゴシック" w:eastAsia="ＭＳ Ｐゴシック"/>
          <w:b w:val="1"/>
          <w:kern w:val="0"/>
          <w:sz w:val="28"/>
        </w:rPr>
        <w:t>住民一人当たりの行政コスト………………………………………………２６</w:t>
      </w:r>
    </w:p>
    <w:p>
      <w:pPr>
        <w:pStyle w:val="0"/>
        <w:spacing w:line="520" w:lineRule="exact"/>
        <w:ind w:firstLine="281" w:firstLineChars="100"/>
        <w:jc w:val="distribute"/>
        <w:rPr>
          <w:rFonts w:hint="default" w:ascii="ＭＳ Ｐゴシック" w:hAnsi="ＭＳ Ｐゴシック" w:eastAsia="ＭＳ Ｐゴシック"/>
          <w:b w:val="1"/>
          <w:kern w:val="0"/>
          <w:sz w:val="28"/>
        </w:rPr>
      </w:pPr>
      <w:r>
        <w:rPr>
          <w:rFonts w:hint="eastAsia" w:ascii="ＭＳ Ｐゴシック" w:hAnsi="ＭＳ Ｐゴシック" w:eastAsia="ＭＳ Ｐゴシック"/>
          <w:b w:val="1"/>
          <w:color w:val="ED7D31" w:themeColor="accent2"/>
          <w:kern w:val="0"/>
          <w:sz w:val="28"/>
        </w:rPr>
        <w:t>（６）</w:t>
      </w:r>
      <w:r>
        <w:rPr>
          <w:rFonts w:hint="eastAsia" w:ascii="ＭＳ Ｐゴシック" w:hAnsi="ＭＳ Ｐゴシック" w:eastAsia="ＭＳ Ｐゴシック"/>
          <w:b w:val="1"/>
          <w:kern w:val="0"/>
          <w:sz w:val="28"/>
        </w:rPr>
        <w:t>受益者負担割合………………………………………………………２６</w:t>
      </w:r>
    </w:p>
    <w:p>
      <w:pPr>
        <w:pStyle w:val="0"/>
        <w:rPr>
          <w:rFonts w:hint="default" w:ascii="メイリオ" w:hAnsi="メイリオ" w:eastAsia="メイリオ"/>
          <w:kern w:val="0"/>
          <w:sz w:val="28"/>
        </w:rPr>
      </w:pPr>
    </w:p>
    <w:p>
      <w:pPr>
        <w:pStyle w:val="0"/>
        <w:rPr>
          <w:rFonts w:hint="default" w:ascii="メイリオ" w:hAnsi="メイリオ" w:eastAsia="メイリオ"/>
          <w:kern w:val="0"/>
          <w:sz w:val="28"/>
        </w:rPr>
      </w:pPr>
    </w:p>
    <w:p>
      <w:pPr>
        <w:rPr>
          <w:rFonts w:hint="default" w:ascii="メイリオ" w:hAnsi="メイリオ" w:eastAsia="メイリオ"/>
          <w:kern w:val="0"/>
          <w:sz w:val="28"/>
        </w:rPr>
        <w:sectPr>
          <w:footerReference r:id="rId6" w:type="default"/>
          <w:pgSz w:w="11906" w:h="16838"/>
          <w:pgMar w:top="1440" w:right="1080" w:bottom="1440" w:left="1080" w:header="851" w:footer="992" w:gutter="0"/>
          <w:cols w:space="720"/>
          <w:textDirection w:val="lrTb"/>
          <w:docGrid w:type="lines" w:linePitch="360"/>
        </w:sectPr>
      </w:pPr>
    </w:p>
    <w:p>
      <w:pPr>
        <w:pStyle w:val="0"/>
        <w:rPr>
          <w:rFonts w:hint="default" w:ascii="メイリオ" w:hAnsi="メイリオ" w:eastAsia="メイリオ"/>
          <w:b w:val="1"/>
          <w:color w:val="0070C0"/>
          <w:kern w:val="0"/>
          <w:sz w:val="32"/>
        </w:rPr>
      </w:pPr>
      <w:r>
        <w:rPr>
          <w:rFonts w:hint="eastAsia" w:ascii="メイリオ" w:hAnsi="メイリオ" w:eastAsia="メイリオ"/>
          <w:b w:val="1"/>
          <w:color w:val="0070C0"/>
          <w:kern w:val="0"/>
          <w:sz w:val="32"/>
        </w:rPr>
        <w:t>１．地方公会計の概要</w:t>
      </w:r>
    </w:p>
    <w:p>
      <w:pPr>
        <w:pStyle w:val="0"/>
        <w:rPr>
          <w:rFonts w:hint="default" w:ascii="メイリオ" w:hAnsi="メイリオ" w:eastAsia="メイリオ"/>
          <w:sz w:val="28"/>
        </w:rPr>
      </w:pPr>
      <w:r>
        <w:rPr>
          <w:rFonts w:hint="eastAsia" w:ascii="メイリオ" w:hAnsi="メイリオ" w:eastAsia="メイリオ"/>
          <w:color w:val="ED7D31" w:themeColor="accent2"/>
          <w:sz w:val="28"/>
        </w:rPr>
        <w:t>（１）</w:t>
      </w:r>
      <w:bookmarkStart w:id="1" w:name="_Hlk506021764"/>
      <w:r>
        <w:rPr>
          <w:rFonts w:hint="eastAsia" w:ascii="メイリオ" w:hAnsi="メイリオ" w:eastAsia="メイリオ"/>
          <w:sz w:val="28"/>
        </w:rPr>
        <w:t>地方公会計制度導入の目的</w:t>
      </w:r>
    </w:p>
    <w:p>
      <w:pPr>
        <w:pStyle w:val="0"/>
        <w:ind w:firstLine="240" w:firstLineChars="100"/>
        <w:rPr>
          <w:rFonts w:hint="default" w:ascii="ＭＳ 明朝" w:hAnsi="ＭＳ 明朝"/>
          <w:sz w:val="24"/>
        </w:rPr>
      </w:pPr>
      <w:r>
        <w:rPr>
          <w:rFonts w:hint="eastAsia" w:ascii="ＭＳ 明朝" w:hAnsi="ＭＳ 明朝"/>
          <w:sz w:val="24"/>
        </w:rPr>
        <w:t>地方公共団体の会計制度は、地方自治法等により、その調整方法や処理方法が規定されています。これらは、民間企業で採用されている「発生主義会計」に対して、「現金主義会計」と呼ばれ、現金の収入と支出の記録に重点を置いたものとなっています。</w:t>
      </w:r>
    </w:p>
    <w:p>
      <w:pPr>
        <w:pStyle w:val="0"/>
        <w:ind w:firstLine="240" w:firstLineChars="100"/>
        <w:rPr>
          <w:rFonts w:hint="default" w:ascii="ＭＳ 明朝" w:hAnsi="ＭＳ 明朝"/>
          <w:sz w:val="24"/>
        </w:rPr>
      </w:pPr>
      <w:r>
        <w:rPr>
          <w:rFonts w:hint="eastAsia" w:ascii="ＭＳ 明朝" w:hAnsi="ＭＳ 明朝"/>
          <w:sz w:val="24"/>
        </w:rPr>
        <w:t>しかし、現金主義会計だけでは、地方公共団体の資産や債務の実態をつかみにくいことから、発生主義的な考え方を取り入れた決算資料の作成が求められていました。</w:t>
      </w:r>
    </w:p>
    <w:p>
      <w:pPr>
        <w:pStyle w:val="0"/>
        <w:ind w:firstLine="240" w:firstLineChars="100"/>
        <w:rPr>
          <w:rFonts w:hint="default" w:ascii="ＭＳ 明朝" w:hAnsi="ＭＳ 明朝"/>
          <w:sz w:val="24"/>
        </w:rPr>
      </w:pPr>
    </w:p>
    <w:p>
      <w:pPr>
        <w:pStyle w:val="0"/>
        <w:rPr>
          <w:rFonts w:hint="default" w:ascii="ＭＳ 明朝" w:hAnsi="ＭＳ 明朝"/>
        </w:rPr>
      </w:pPr>
      <w:r>
        <w:rPr>
          <w:rFonts w:hint="eastAsia" w:ascii="HGP創英角ｺﾞｼｯｸUB" w:hAnsi="HGP創英角ｺﾞｼｯｸUB" w:eastAsia="HGP創英角ｺﾞｼｯｸUB"/>
          <w:color w:val="003399"/>
          <w:kern w:val="0"/>
          <w:sz w:val="24"/>
        </w:rPr>
        <w:t>■地方公会計の目的</w:t>
      </w:r>
    </w:p>
    <w:tbl>
      <w:tblPr>
        <w:tblStyle w:val="11"/>
        <w:tblW w:w="9639" w:type="dxa"/>
        <w:jc w:val="center"/>
        <w:tblInd w:w="0" w:type="dxa"/>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Layout w:type="fixed"/>
        <w:tblCellMar>
          <w:top w:w="113" w:type="dxa"/>
          <w:bottom w:w="113" w:type="dxa"/>
        </w:tblCellMar>
        <w:tblLook w:firstRow="1" w:lastRow="1" w:firstColumn="1" w:lastColumn="1" w:noHBand="0" w:noVBand="0" w:val="01E0"/>
      </w:tblPr>
      <w:tblGrid>
        <w:gridCol w:w="9639"/>
      </w:tblGrid>
      <w:tr>
        <w:trPr>
          <w:trHeight w:val="353" w:hRule="atLeast"/>
        </w:trPr>
        <w:tc>
          <w:tcPr>
            <w:tcW w:w="9639" w:type="dxa"/>
            <w:shd w:val="thinHorzStripe" w:color="FFFFF0" w:fill="auto"/>
            <w:vAlign w:val="top"/>
          </w:tcPr>
          <w:p>
            <w:pPr>
              <w:pStyle w:val="0"/>
              <w:spacing w:line="0" w:lineRule="atLeast"/>
              <w:ind w:left="264" w:hanging="264" w:hangingChars="110"/>
              <w:rPr>
                <w:rFonts w:hint="default" w:ascii="ＭＳ ゴシック" w:hAnsi="ＭＳ ゴシック" w:eastAsia="ＭＳ ゴシック"/>
                <w:sz w:val="24"/>
              </w:rPr>
            </w:pPr>
            <w:r>
              <w:rPr>
                <w:rFonts w:hint="eastAsia" w:ascii="ＭＳ ゴシック" w:hAnsi="ＭＳ ゴシック" w:eastAsia="ＭＳ ゴシック"/>
                <w:sz w:val="24"/>
              </w:rPr>
              <w:t>○「発生主義・複式簿記」といった企業会計的要素を取り込むことにより、資産・負債などのストック情報が把握できる。</w:t>
            </w:r>
          </w:p>
          <w:p>
            <w:pPr>
              <w:pStyle w:val="0"/>
              <w:spacing w:line="0" w:lineRule="atLeast"/>
              <w:ind w:left="264" w:hanging="264" w:hangingChars="110"/>
              <w:rPr>
                <w:rFonts w:hint="default" w:ascii="ＭＳ ゴシック" w:hAnsi="ＭＳ ゴシック" w:eastAsia="ＭＳ ゴシック"/>
                <w:sz w:val="24"/>
              </w:rPr>
            </w:pPr>
            <w:r>
              <w:rPr>
                <w:rFonts w:hint="eastAsia" w:ascii="ＭＳ ゴシック" w:hAnsi="ＭＳ ゴシック" w:eastAsia="ＭＳ ゴシック"/>
                <w:sz w:val="24"/>
              </w:rPr>
              <w:t>○現金主義の会計制度では見えにくいコストを把握し、自治体の財政状況等をわかりやすく開示できる。</w:t>
            </w:r>
          </w:p>
          <w:p>
            <w:pPr>
              <w:pStyle w:val="0"/>
              <w:spacing w:line="0" w:lineRule="atLeast"/>
              <w:ind w:left="240" w:hanging="240" w:hangingChars="100"/>
              <w:rPr>
                <w:rFonts w:hint="default" w:ascii="ＭＳ 明朝" w:hAnsi="ＭＳ 明朝"/>
                <w:sz w:val="24"/>
              </w:rPr>
            </w:pPr>
            <w:r>
              <w:rPr>
                <w:rFonts w:hint="eastAsia" w:ascii="ＭＳ ゴシック" w:hAnsi="ＭＳ ゴシック" w:eastAsia="ＭＳ ゴシック"/>
                <w:sz w:val="24"/>
              </w:rPr>
              <w:t>○資産・債務の適正管理や有効活用といった、中・長期的な視点に立った自治体経営の強化が可能になる。</w:t>
            </w:r>
          </w:p>
        </w:tc>
      </w:tr>
    </w:tbl>
    <w:p>
      <w:pPr>
        <w:pStyle w:val="0"/>
        <w:ind w:firstLine="240" w:firstLineChars="100"/>
        <w:rPr>
          <w:rFonts w:hint="default" w:ascii="ＭＳ 明朝" w:hAnsi="ＭＳ 明朝"/>
          <w:sz w:val="24"/>
        </w:rPr>
      </w:pPr>
    </w:p>
    <w:p>
      <w:pPr>
        <w:pStyle w:val="0"/>
        <w:rPr>
          <w:rFonts w:hint="default" w:ascii="メイリオ" w:hAnsi="メイリオ" w:eastAsia="メイリオ"/>
          <w:sz w:val="28"/>
        </w:rPr>
      </w:pPr>
      <w:r>
        <w:rPr>
          <w:rFonts w:hint="eastAsia" w:ascii="メイリオ" w:hAnsi="メイリオ" w:eastAsia="メイリオ"/>
          <w:color w:val="ED7D31" w:themeColor="accent2"/>
          <w:sz w:val="28"/>
        </w:rPr>
        <w:t>（２）</w:t>
      </w:r>
      <w:r>
        <w:rPr>
          <w:rFonts w:hint="eastAsia" w:ascii="メイリオ" w:hAnsi="メイリオ" w:eastAsia="メイリオ"/>
          <w:sz w:val="28"/>
        </w:rPr>
        <w:t>官庁会計と地方公会計制度の違い</w:t>
      </w:r>
    </w:p>
    <w:p>
      <w:pPr>
        <w:pStyle w:val="0"/>
        <w:ind w:firstLine="240" w:firstLineChars="100"/>
        <w:rPr>
          <w:rFonts w:hint="default" w:ascii="ＭＳ 明朝" w:hAnsi="ＭＳ 明朝"/>
          <w:sz w:val="24"/>
        </w:rPr>
      </w:pPr>
      <w:r>
        <w:rPr>
          <w:rFonts w:hint="eastAsia" w:ascii="ＭＳ 明朝" w:hAnsi="ＭＳ 明朝"/>
          <w:sz w:val="24"/>
        </w:rPr>
        <w:t>地方公共団体の会計は、単式簿記・現金主義によるもので、「現金」という</w:t>
      </w:r>
      <w:r>
        <w:rPr>
          <w:rFonts w:hint="eastAsia" w:ascii="ＭＳ 明朝" w:hAnsi="ＭＳ 明朝"/>
          <w:sz w:val="24"/>
        </w:rPr>
        <w:t>1</w:t>
      </w:r>
      <w:r>
        <w:rPr>
          <w:rFonts w:hint="eastAsia" w:ascii="ＭＳ 明朝" w:hAnsi="ＭＳ 明朝"/>
          <w:sz w:val="24"/>
        </w:rPr>
        <w:t>つの科目の収支のみを記録するものですが、一方、地方公会計制度による財務書類では、現金の収支に関わらず、</w:t>
      </w:r>
      <w:r>
        <w:rPr>
          <w:rFonts w:hint="eastAsia" w:ascii="ＭＳ 明朝" w:hAnsi="ＭＳ 明朝"/>
          <w:sz w:val="24"/>
        </w:rPr>
        <w:t>1</w:t>
      </w:r>
      <w:r>
        <w:rPr>
          <w:rFonts w:hint="eastAsia" w:ascii="ＭＳ 明朝" w:hAnsi="ＭＳ 明朝"/>
          <w:sz w:val="24"/>
        </w:rPr>
        <w:t>つの取引について、それを原因と結果の両方からとらえ、二面的に記録することにより、資産の動きや行政サービスの提供に必要なコストを把握することができるようになります。</w:t>
      </w:r>
    </w:p>
    <w:p>
      <w:pPr>
        <w:pStyle w:val="0"/>
        <w:ind w:firstLine="210" w:firstLineChars="100"/>
        <w:rPr>
          <w:rFonts w:hint="default" w:ascii="ＭＳ ゴシック" w:hAnsi="ＭＳ ゴシック" w:eastAsia="ＭＳ ゴシック"/>
        </w:rPr>
      </w:pPr>
    </w:p>
    <w:p>
      <w:pPr>
        <w:pStyle w:val="0"/>
        <w:rPr>
          <w:rFonts w:hint="default" w:ascii="メイリオ" w:hAnsi="メイリオ" w:eastAsia="メイリオ"/>
          <w:sz w:val="28"/>
        </w:rPr>
      </w:pPr>
      <w:r>
        <w:rPr>
          <w:rFonts w:hint="eastAsia" w:ascii="メイリオ" w:hAnsi="メイリオ" w:eastAsia="メイリオ"/>
          <w:color w:val="ED7D31" w:themeColor="accent2"/>
          <w:sz w:val="28"/>
        </w:rPr>
        <w:t>（３）</w:t>
      </w:r>
      <w:r>
        <w:rPr>
          <w:rFonts w:hint="eastAsia" w:ascii="メイリオ" w:hAnsi="メイリオ" w:eastAsia="メイリオ"/>
          <w:sz w:val="28"/>
        </w:rPr>
        <w:t>民間の企業会計と公会計の違い</w:t>
      </w:r>
    </w:p>
    <w:p>
      <w:pPr>
        <w:pStyle w:val="0"/>
        <w:ind w:firstLine="240" w:firstLineChars="100"/>
        <w:rPr>
          <w:rFonts w:hint="default" w:ascii="ＭＳ 明朝" w:hAnsi="ＭＳ 明朝"/>
          <w:sz w:val="24"/>
        </w:rPr>
      </w:pPr>
      <w:bookmarkEnd w:id="1"/>
      <w:r>
        <w:rPr>
          <w:rFonts w:hint="eastAsia" w:ascii="ＭＳ 明朝" w:hAnsi="ＭＳ 明朝"/>
          <w:sz w:val="24"/>
        </w:rPr>
        <w:t>地方公会計制度は、民間企業の会計手法を取り入れたものですが、地方公共団体と民間企業とは会計制度の目的が異なります。民間企業の目的は利益獲得であるため、例えば損益計算書は、対応する収益とコストを差し引いて適切に期間損益を計算し、企業経営に資することを目的としています。</w:t>
      </w:r>
    </w:p>
    <w:p>
      <w:pPr>
        <w:pStyle w:val="0"/>
        <w:ind w:firstLine="240" w:firstLineChars="100"/>
        <w:rPr>
          <w:rFonts w:hint="default" w:ascii="ＭＳ 明朝" w:hAnsi="ＭＳ 明朝"/>
          <w:sz w:val="24"/>
        </w:rPr>
      </w:pPr>
      <w:r>
        <w:rPr>
          <w:rFonts w:hint="eastAsia" w:ascii="ＭＳ 明朝" w:hAnsi="ＭＳ 明朝"/>
          <w:sz w:val="24"/>
        </w:rPr>
        <w:t>これに対し、地方公共団体は利益の獲得を目的としませんので、経常行政コストと経常収支の差引きで表される純経常行政コストは、利益の概念ではなく、地方税や地方交付税などの一般財源や資産の売却などで賄うべきコストを示すことになります。</w:t>
      </w:r>
    </w:p>
    <w:p>
      <w:pPr>
        <w:pStyle w:val="0"/>
        <w:ind w:firstLine="240" w:firstLineChars="100"/>
        <w:rPr>
          <w:rFonts w:hint="default" w:ascii="ＭＳ 明朝" w:hAnsi="ＭＳ 明朝"/>
          <w:sz w:val="24"/>
        </w:rPr>
      </w:pPr>
    </w:p>
    <w:p>
      <w:pPr>
        <w:pStyle w:val="0"/>
        <w:ind w:firstLine="240" w:firstLineChars="100"/>
        <w:rPr>
          <w:rFonts w:hint="default" w:ascii="ＭＳ 明朝" w:hAnsi="ＭＳ 明朝"/>
          <w:sz w:val="24"/>
        </w:rPr>
      </w:pPr>
      <w:r>
        <w:rPr>
          <w:rFonts w:hint="default" w:ascii="ＭＳ 明朝" w:hAnsi="ＭＳ 明朝"/>
          <w:sz w:val="24"/>
        </w:rPr>
        <w:br w:type="page"/>
      </w:r>
    </w:p>
    <w:p>
      <w:pPr>
        <w:pStyle w:val="0"/>
        <w:rPr>
          <w:rFonts w:hint="default" w:ascii="メイリオ" w:hAnsi="メイリオ" w:eastAsia="メイリオ"/>
          <w:sz w:val="28"/>
        </w:rPr>
      </w:pPr>
      <w:r>
        <w:rPr>
          <w:rFonts w:hint="eastAsia" w:ascii="メイリオ" w:hAnsi="メイリオ" w:eastAsia="メイリオ"/>
          <w:color w:val="ED7D31" w:themeColor="accent2"/>
          <w:sz w:val="28"/>
        </w:rPr>
        <w:t>（４）</w:t>
      </w:r>
      <w:r>
        <w:rPr>
          <w:rFonts w:hint="eastAsia" w:ascii="メイリオ" w:hAnsi="メイリオ" w:eastAsia="メイリオ"/>
          <w:sz w:val="28"/>
        </w:rPr>
        <w:t>財務書類の内容</w:t>
      </w:r>
    </w:p>
    <w:p>
      <w:pPr>
        <w:pStyle w:val="0"/>
        <w:rPr>
          <w:rFonts w:hint="default" w:ascii="メイリオ" w:hAnsi="メイリオ" w:eastAsia="メイリオ"/>
          <w:kern w:val="0"/>
          <w:sz w:val="24"/>
        </w:rPr>
      </w:pPr>
      <w:r>
        <w:rPr>
          <w:rFonts w:hint="eastAsia" w:ascii="メイリオ" w:hAnsi="メイリオ" w:eastAsia="メイリオ"/>
          <w:kern w:val="0"/>
          <w:sz w:val="24"/>
        </w:rPr>
        <w:t>①財務書類の作成範囲</w:t>
      </w:r>
    </w:p>
    <w:p>
      <w:pPr>
        <w:pStyle w:val="0"/>
        <w:ind w:firstLine="240" w:firstLineChars="100"/>
        <w:rPr>
          <w:rFonts w:hint="default" w:ascii="ＭＳ 明朝" w:hAnsi="ＭＳ 明朝"/>
          <w:sz w:val="24"/>
        </w:rPr>
      </w:pPr>
      <w:r>
        <w:rPr>
          <w:rFonts w:hint="eastAsia" w:ascii="ＭＳ 明朝" w:hAnsi="ＭＳ 明朝"/>
          <w:sz w:val="24"/>
        </w:rPr>
        <w:t>財務書類の作成の範囲は以下の通りとなります。</w:t>
      </w:r>
    </w:p>
    <w:p>
      <w:pPr>
        <w:pStyle w:val="0"/>
        <w:spacing w:line="0" w:lineRule="atLeast"/>
        <w:ind w:firstLine="210" w:firstLineChars="100"/>
        <w:rPr>
          <w:rFonts w:hint="default" w:ascii="ＭＳ 明朝" w:hAnsi="ＭＳ 明朝"/>
        </w:rPr>
      </w:pPr>
    </w:p>
    <w:tbl>
      <w:tblPr>
        <w:tblStyle w:val="11"/>
        <w:tblW w:w="7980" w:type="dxa"/>
        <w:tblInd w:w="836" w:type="dxa"/>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ayout w:type="fixed"/>
        <w:tblCellMar>
          <w:left w:w="99" w:type="dxa"/>
          <w:right w:w="99" w:type="dxa"/>
        </w:tblCellMar>
        <w:tblLook w:firstRow="1" w:lastRow="0" w:firstColumn="1" w:lastColumn="0" w:noHBand="0" w:noVBand="1" w:val="04A0"/>
      </w:tblPr>
      <w:tblGrid>
        <w:gridCol w:w="2820"/>
        <w:gridCol w:w="5160"/>
      </w:tblGrid>
      <w:tr>
        <w:trPr>
          <w:trHeight w:val="345" w:hRule="atLeast"/>
        </w:trPr>
        <w:tc>
          <w:tcPr>
            <w:tcW w:w="2820" w:type="dxa"/>
            <w:shd w:val="clear" w:color="000000" w:fill="8DB3E2"/>
            <w:vAlign w:val="center"/>
          </w:tcPr>
          <w:p>
            <w:pPr>
              <w:pStyle w:val="0"/>
              <w:widowControl w:val="1"/>
              <w:spacing w:line="0" w:lineRule="atLeast"/>
              <w:jc w:val="center"/>
              <w:rPr>
                <w:rFonts w:hint="default" w:ascii="ＭＳ Ｐゴシック" w:hAnsi="ＭＳ Ｐゴシック" w:eastAsia="ＭＳ Ｐゴシック"/>
                <w:b w:val="1"/>
                <w:color w:val="FFFFFF"/>
                <w:kern w:val="0"/>
                <w:sz w:val="24"/>
              </w:rPr>
            </w:pPr>
            <w:r>
              <w:rPr>
                <w:rFonts w:hint="eastAsia" w:ascii="ＭＳ Ｐゴシック" w:hAnsi="ＭＳ Ｐゴシック" w:eastAsia="ＭＳ Ｐゴシック"/>
                <w:b w:val="1"/>
                <w:color w:val="FFFFFF"/>
                <w:kern w:val="0"/>
                <w:sz w:val="24"/>
              </w:rPr>
              <w:t>財務書類名称</w:t>
            </w:r>
          </w:p>
        </w:tc>
        <w:tc>
          <w:tcPr>
            <w:tcW w:w="5160" w:type="dxa"/>
            <w:shd w:val="clear" w:color="000000" w:fill="8DB3E2"/>
            <w:vAlign w:val="center"/>
          </w:tcPr>
          <w:p>
            <w:pPr>
              <w:pStyle w:val="0"/>
              <w:widowControl w:val="1"/>
              <w:spacing w:line="0" w:lineRule="atLeast"/>
              <w:jc w:val="center"/>
              <w:rPr>
                <w:rFonts w:hint="default" w:ascii="ＭＳ Ｐゴシック" w:hAnsi="ＭＳ Ｐゴシック" w:eastAsia="ＭＳ Ｐゴシック"/>
                <w:b w:val="1"/>
                <w:color w:val="FFFFFF"/>
                <w:kern w:val="0"/>
                <w:sz w:val="24"/>
              </w:rPr>
            </w:pPr>
            <w:r>
              <w:rPr>
                <w:rFonts w:hint="eastAsia" w:ascii="ＭＳ Ｐゴシック" w:hAnsi="ＭＳ Ｐゴシック" w:eastAsia="ＭＳ Ｐゴシック"/>
                <w:b w:val="1"/>
                <w:color w:val="FFFFFF"/>
                <w:kern w:val="0"/>
                <w:sz w:val="24"/>
              </w:rPr>
              <w:t>対象会計範囲</w:t>
            </w:r>
          </w:p>
        </w:tc>
      </w:tr>
      <w:tr>
        <w:trPr>
          <w:trHeight w:val="57" w:hRule="atLeast"/>
        </w:trPr>
        <w:tc>
          <w:tcPr>
            <w:tcW w:w="2820" w:type="dxa"/>
            <w:vMerge w:val="restart"/>
            <w:shd w:val="clear" w:color="auto" w:fill="92CDDC"/>
            <w:vAlign w:val="center"/>
          </w:tcPr>
          <w:p>
            <w:pPr>
              <w:pStyle w:val="0"/>
              <w:widowControl w:val="1"/>
              <w:spacing w:line="0" w:lineRule="atLeast"/>
              <w:jc w:val="center"/>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一般会計等財務書類</w:t>
            </w:r>
          </w:p>
        </w:tc>
        <w:tc>
          <w:tcPr>
            <w:tcW w:w="5160" w:type="dxa"/>
            <w:shd w:val="clear" w:color="auto" w:fill="FFFFFF"/>
            <w:vAlign w:val="center"/>
          </w:tcPr>
          <w:p>
            <w:pPr>
              <w:pStyle w:val="0"/>
              <w:widowControl w:val="1"/>
              <w:spacing w:line="0" w:lineRule="atLeast"/>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一般会計</w:t>
            </w:r>
          </w:p>
        </w:tc>
      </w:tr>
      <w:tr>
        <w:trPr>
          <w:trHeight w:val="57" w:hRule="atLeast"/>
        </w:trPr>
        <w:tc>
          <w:tcPr>
            <w:tcW w:w="2820" w:type="dxa"/>
            <w:vMerge w:val="continue"/>
            <w:shd w:val="clear" w:color="auto" w:fill="92CDDC"/>
            <w:vAlign w:val="center"/>
          </w:tcPr>
          <w:p>
            <w:pPr>
              <w:pStyle w:val="0"/>
              <w:widowControl w:val="1"/>
              <w:spacing w:line="0" w:lineRule="atLeast"/>
              <w:jc w:val="left"/>
              <w:rPr>
                <w:rFonts w:hint="default" w:ascii="ＭＳ ゴシック" w:hAnsi="ＭＳ ゴシック" w:eastAsia="ＭＳ ゴシック"/>
                <w:color w:val="000000"/>
                <w:kern w:val="0"/>
                <w:sz w:val="22"/>
              </w:rPr>
            </w:pPr>
          </w:p>
        </w:tc>
        <w:tc>
          <w:tcPr>
            <w:tcW w:w="5160" w:type="dxa"/>
            <w:shd w:val="clear" w:color="auto" w:fill="DAEEF3"/>
            <w:vAlign w:val="center"/>
          </w:tcPr>
          <w:p>
            <w:pPr>
              <w:pStyle w:val="0"/>
              <w:widowControl w:val="1"/>
              <w:spacing w:line="0" w:lineRule="atLeast"/>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財政健全化法において対象としている範囲</w:t>
            </w:r>
          </w:p>
        </w:tc>
      </w:tr>
      <w:tr>
        <w:trPr>
          <w:trHeight w:val="57" w:hRule="atLeast"/>
        </w:trPr>
        <w:tc>
          <w:tcPr>
            <w:tcW w:w="2820" w:type="dxa"/>
            <w:vMerge w:val="restart"/>
            <w:shd w:val="clear" w:color="auto" w:fill="FBD4B4"/>
            <w:vAlign w:val="center"/>
          </w:tcPr>
          <w:p>
            <w:pPr>
              <w:pStyle w:val="0"/>
              <w:widowControl w:val="1"/>
              <w:spacing w:line="0" w:lineRule="atLeast"/>
              <w:jc w:val="center"/>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全体財務書類</w:t>
            </w:r>
          </w:p>
        </w:tc>
        <w:tc>
          <w:tcPr>
            <w:tcW w:w="5160" w:type="dxa"/>
            <w:shd w:val="clear" w:color="auto" w:fill="auto"/>
            <w:vAlign w:val="center"/>
          </w:tcPr>
          <w:p>
            <w:pPr>
              <w:pStyle w:val="0"/>
              <w:widowControl w:val="1"/>
              <w:spacing w:line="0" w:lineRule="atLeast"/>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一般会計等財務書類</w:t>
            </w:r>
          </w:p>
        </w:tc>
      </w:tr>
      <w:tr>
        <w:trPr>
          <w:trHeight w:val="57" w:hRule="atLeast"/>
        </w:trPr>
        <w:tc>
          <w:tcPr>
            <w:tcW w:w="2820" w:type="dxa"/>
            <w:vMerge w:val="continue"/>
            <w:shd w:val="clear" w:color="auto" w:fill="FBD4B4"/>
            <w:vAlign w:val="center"/>
          </w:tcPr>
          <w:p>
            <w:pPr>
              <w:pStyle w:val="0"/>
              <w:widowControl w:val="1"/>
              <w:spacing w:line="0" w:lineRule="atLeast"/>
              <w:jc w:val="left"/>
              <w:rPr>
                <w:rFonts w:hint="default" w:ascii="ＭＳ ゴシック" w:hAnsi="ＭＳ ゴシック" w:eastAsia="ＭＳ ゴシック"/>
                <w:color w:val="000000"/>
                <w:kern w:val="0"/>
                <w:sz w:val="22"/>
              </w:rPr>
            </w:pPr>
          </w:p>
        </w:tc>
        <w:tc>
          <w:tcPr>
            <w:tcW w:w="5160" w:type="dxa"/>
            <w:shd w:val="clear" w:color="auto" w:fill="FDE9D9"/>
            <w:vAlign w:val="center"/>
          </w:tcPr>
          <w:p>
            <w:pPr>
              <w:pStyle w:val="0"/>
              <w:widowControl w:val="1"/>
              <w:spacing w:line="0" w:lineRule="atLeast"/>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特別会計（一般会計等に含まない会計）</w:t>
            </w:r>
          </w:p>
        </w:tc>
      </w:tr>
      <w:tr>
        <w:trPr>
          <w:trHeight w:val="57" w:hRule="atLeast"/>
        </w:trPr>
        <w:tc>
          <w:tcPr>
            <w:tcW w:w="2820" w:type="dxa"/>
            <w:vMerge w:val="restart"/>
            <w:shd w:val="clear" w:color="auto" w:fill="D6E3BC"/>
            <w:vAlign w:val="center"/>
          </w:tcPr>
          <w:p>
            <w:pPr>
              <w:pStyle w:val="0"/>
              <w:widowControl w:val="1"/>
              <w:spacing w:line="0" w:lineRule="atLeast"/>
              <w:jc w:val="center"/>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連結財務書類</w:t>
            </w:r>
          </w:p>
        </w:tc>
        <w:tc>
          <w:tcPr>
            <w:tcW w:w="5160" w:type="dxa"/>
            <w:shd w:val="clear" w:color="auto" w:fill="auto"/>
            <w:vAlign w:val="center"/>
          </w:tcPr>
          <w:p>
            <w:pPr>
              <w:pStyle w:val="0"/>
              <w:widowControl w:val="1"/>
              <w:spacing w:line="0" w:lineRule="atLeast"/>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全体財務書類</w:t>
            </w:r>
          </w:p>
        </w:tc>
      </w:tr>
      <w:tr>
        <w:trPr>
          <w:trHeight w:val="57" w:hRule="atLeast"/>
        </w:trPr>
        <w:tc>
          <w:tcPr>
            <w:tcW w:w="2820" w:type="dxa"/>
            <w:vMerge w:val="continue"/>
            <w:shd w:val="clear" w:color="auto" w:fill="D6E3BC"/>
            <w:vAlign w:val="center"/>
          </w:tcPr>
          <w:p>
            <w:pPr>
              <w:pStyle w:val="0"/>
              <w:widowControl w:val="1"/>
              <w:spacing w:line="0" w:lineRule="atLeast"/>
              <w:jc w:val="left"/>
              <w:rPr>
                <w:rFonts w:hint="default" w:ascii="ＭＳ ゴシック" w:hAnsi="ＭＳ ゴシック" w:eastAsia="ＭＳ ゴシック"/>
                <w:color w:val="000000"/>
                <w:kern w:val="0"/>
                <w:sz w:val="22"/>
              </w:rPr>
            </w:pPr>
          </w:p>
        </w:tc>
        <w:tc>
          <w:tcPr>
            <w:tcW w:w="5160" w:type="dxa"/>
            <w:shd w:val="clear" w:color="auto" w:fill="EAF1DD"/>
            <w:vAlign w:val="center"/>
          </w:tcPr>
          <w:p>
            <w:pPr>
              <w:pStyle w:val="0"/>
              <w:widowControl w:val="1"/>
              <w:spacing w:line="0" w:lineRule="atLeast"/>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一部事務組合</w:t>
            </w:r>
          </w:p>
        </w:tc>
      </w:tr>
      <w:tr>
        <w:trPr>
          <w:trHeight w:val="57" w:hRule="atLeast"/>
        </w:trPr>
        <w:tc>
          <w:tcPr>
            <w:tcW w:w="2820" w:type="dxa"/>
            <w:vMerge w:val="continue"/>
            <w:shd w:val="clear" w:color="auto" w:fill="D6E3BC"/>
            <w:vAlign w:val="center"/>
          </w:tcPr>
          <w:p>
            <w:pPr>
              <w:pStyle w:val="0"/>
              <w:widowControl w:val="1"/>
              <w:spacing w:line="0" w:lineRule="atLeast"/>
              <w:jc w:val="left"/>
              <w:rPr>
                <w:rFonts w:hint="default" w:ascii="ＭＳ ゴシック" w:hAnsi="ＭＳ ゴシック" w:eastAsia="ＭＳ ゴシック"/>
                <w:color w:val="000000"/>
                <w:kern w:val="0"/>
                <w:sz w:val="22"/>
              </w:rPr>
            </w:pPr>
          </w:p>
        </w:tc>
        <w:tc>
          <w:tcPr>
            <w:tcW w:w="5160" w:type="dxa"/>
            <w:shd w:val="clear" w:color="auto" w:fill="auto"/>
            <w:vAlign w:val="center"/>
          </w:tcPr>
          <w:p>
            <w:pPr>
              <w:pStyle w:val="0"/>
              <w:widowControl w:val="1"/>
              <w:spacing w:line="0" w:lineRule="atLeast"/>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広域連合</w:t>
            </w:r>
          </w:p>
        </w:tc>
      </w:tr>
      <w:tr>
        <w:trPr>
          <w:trHeight w:val="57" w:hRule="atLeast"/>
        </w:trPr>
        <w:tc>
          <w:tcPr>
            <w:tcW w:w="2820" w:type="dxa"/>
            <w:vMerge w:val="continue"/>
            <w:shd w:val="clear" w:color="auto" w:fill="D6E3BC"/>
            <w:vAlign w:val="center"/>
          </w:tcPr>
          <w:p>
            <w:pPr>
              <w:pStyle w:val="0"/>
              <w:widowControl w:val="1"/>
              <w:spacing w:line="0" w:lineRule="atLeast"/>
              <w:jc w:val="left"/>
              <w:rPr>
                <w:rFonts w:hint="default" w:ascii="ＭＳ ゴシック" w:hAnsi="ＭＳ ゴシック" w:eastAsia="ＭＳ ゴシック"/>
                <w:color w:val="000000"/>
                <w:kern w:val="0"/>
                <w:sz w:val="22"/>
              </w:rPr>
            </w:pPr>
          </w:p>
        </w:tc>
        <w:tc>
          <w:tcPr>
            <w:tcW w:w="5160" w:type="dxa"/>
            <w:shd w:val="clear" w:color="auto" w:fill="EAF1DD"/>
            <w:vAlign w:val="center"/>
          </w:tcPr>
          <w:p>
            <w:pPr>
              <w:pStyle w:val="0"/>
              <w:widowControl w:val="1"/>
              <w:spacing w:line="0" w:lineRule="atLeast"/>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地方公社</w:t>
            </w:r>
          </w:p>
        </w:tc>
      </w:tr>
      <w:tr>
        <w:trPr>
          <w:trHeight w:val="57" w:hRule="atLeast"/>
        </w:trPr>
        <w:tc>
          <w:tcPr>
            <w:tcW w:w="2820" w:type="dxa"/>
            <w:vMerge w:val="continue"/>
            <w:shd w:val="clear" w:color="auto" w:fill="D6E3BC"/>
            <w:vAlign w:val="center"/>
          </w:tcPr>
          <w:p>
            <w:pPr>
              <w:pStyle w:val="0"/>
              <w:widowControl w:val="1"/>
              <w:spacing w:line="0" w:lineRule="atLeast"/>
              <w:jc w:val="left"/>
              <w:rPr>
                <w:rFonts w:hint="default" w:ascii="ＭＳ ゴシック" w:hAnsi="ＭＳ ゴシック" w:eastAsia="ＭＳ ゴシック"/>
                <w:color w:val="000000"/>
                <w:kern w:val="0"/>
                <w:sz w:val="22"/>
              </w:rPr>
            </w:pPr>
          </w:p>
        </w:tc>
        <w:tc>
          <w:tcPr>
            <w:tcW w:w="5160" w:type="dxa"/>
            <w:shd w:val="clear" w:color="auto" w:fill="auto"/>
            <w:vAlign w:val="center"/>
          </w:tcPr>
          <w:p>
            <w:pPr>
              <w:pStyle w:val="0"/>
              <w:widowControl w:val="1"/>
              <w:spacing w:line="0" w:lineRule="atLeast"/>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第三セクター</w:t>
            </w:r>
          </w:p>
        </w:tc>
      </w:tr>
    </w:tbl>
    <w:p>
      <w:pPr>
        <w:pStyle w:val="0"/>
        <w:widowControl w:val="1"/>
        <w:jc w:val="left"/>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すべての自治体において、一般会計等財務書類、全体財務書類、連結財務書類の</w:t>
      </w:r>
      <w:r>
        <w:rPr>
          <w:rFonts w:hint="eastAsia" w:ascii="ＭＳ 明朝" w:hAnsi="ＭＳ 明朝"/>
          <w:sz w:val="24"/>
        </w:rPr>
        <w:t>3</w:t>
      </w:r>
      <w:r>
        <w:rPr>
          <w:rFonts w:hint="eastAsia" w:ascii="ＭＳ 明朝" w:hAnsi="ＭＳ 明朝"/>
          <w:sz w:val="24"/>
        </w:rPr>
        <w:t>種類が公表されることになります。</w:t>
      </w:r>
    </w:p>
    <w:p>
      <w:pPr>
        <w:pStyle w:val="0"/>
        <w:ind w:firstLine="240" w:firstLineChars="100"/>
        <w:rPr>
          <w:rFonts w:hint="default" w:ascii="ＭＳ 明朝" w:hAnsi="ＭＳ 明朝"/>
          <w:color w:val="000000" w:themeColor="text1"/>
          <w:sz w:val="24"/>
        </w:rPr>
      </w:pPr>
    </w:p>
    <w:p>
      <w:pPr>
        <w:pStyle w:val="0"/>
        <w:spacing w:before="180" w:beforeLines="50" w:beforeAutospacing="0"/>
        <w:rPr>
          <w:rFonts w:hint="default" w:ascii="メイリオ" w:hAnsi="メイリオ" w:eastAsia="メイリオ"/>
          <w:kern w:val="0"/>
          <w:sz w:val="24"/>
        </w:rPr>
      </w:pPr>
      <w:r>
        <w:rPr>
          <w:rFonts w:hint="eastAsia" w:asciiTheme="majorEastAsia" w:hAnsiTheme="majorEastAsia" w:eastAsiaTheme="majorEastAsia"/>
          <w:sz w:val="24"/>
        </w:rPr>
        <w:t>■占冠村における財務書類の範囲</w:t>
      </w:r>
    </w:p>
    <w:p>
      <w:pPr>
        <w:pStyle w:val="0"/>
        <w:jc w:val="center"/>
        <w:rPr>
          <w:rFonts w:hint="default" w:ascii="メイリオ" w:hAnsi="メイリオ" w:eastAsia="メイリオ"/>
          <w:kern w:val="0"/>
          <w:sz w:val="24"/>
        </w:rPr>
      </w:pPr>
      <w:r>
        <w:rPr>
          <w:rFonts w:hint="default"/>
        </w:rPr>
        <w:drawing>
          <wp:inline distT="0" distB="0" distL="0" distR="0">
            <wp:extent cx="6192520" cy="2983230"/>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8"/>
                    <a:stretch>
                      <a:fillRect/>
                    </a:stretch>
                  </pic:blipFill>
                  <pic:spPr>
                    <a:xfrm>
                      <a:off x="0" y="0"/>
                      <a:ext cx="6192520" cy="2983230"/>
                    </a:xfrm>
                    <a:prstGeom prst="rect">
                      <a:avLst/>
                    </a:prstGeom>
                    <a:noFill/>
                    <a:ln>
                      <a:noFill/>
                    </a:ln>
                  </pic:spPr>
                </pic:pic>
              </a:graphicData>
            </a:graphic>
          </wp:inline>
        </w:drawing>
      </w:r>
    </w:p>
    <w:p>
      <w:pPr>
        <w:pStyle w:val="0"/>
        <w:ind w:firstLine="240" w:firstLineChars="100"/>
        <w:rPr>
          <w:rFonts w:hint="default" w:ascii="メイリオ" w:hAnsi="メイリオ" w:eastAsia="メイリオ"/>
          <w:kern w:val="0"/>
          <w:sz w:val="24"/>
        </w:rPr>
      </w:pPr>
    </w:p>
    <w:p>
      <w:pPr>
        <w:pStyle w:val="0"/>
        <w:rPr>
          <w:rFonts w:hint="default" w:ascii="メイリオ" w:hAnsi="メイリオ" w:eastAsia="メイリオ"/>
          <w:kern w:val="0"/>
          <w:sz w:val="24"/>
        </w:rPr>
      </w:pPr>
    </w:p>
    <w:p>
      <w:pPr>
        <w:pStyle w:val="0"/>
        <w:ind w:firstLine="240" w:firstLineChars="100"/>
        <w:rPr>
          <w:rFonts w:hint="default" w:ascii="メイリオ" w:hAnsi="メイリオ" w:eastAsia="メイリオ"/>
          <w:kern w:val="0"/>
          <w:sz w:val="24"/>
        </w:rPr>
      </w:pPr>
      <w:r>
        <w:rPr>
          <w:rFonts w:hint="eastAsia" w:ascii="メイリオ" w:hAnsi="メイリオ" w:eastAsia="メイリオ"/>
          <w:kern w:val="0"/>
          <w:sz w:val="24"/>
        </w:rPr>
        <w:t>②財務書類の種類</w:t>
      </w:r>
    </w:p>
    <w:p>
      <w:pPr>
        <w:pStyle w:val="0"/>
        <w:ind w:firstLine="240" w:firstLineChars="100"/>
        <w:rPr>
          <w:rFonts w:hint="default" w:ascii="ＭＳ 明朝" w:hAnsi="ＭＳ 明朝"/>
          <w:sz w:val="24"/>
        </w:rPr>
      </w:pPr>
      <w:r>
        <w:rPr>
          <w:rFonts w:hint="eastAsia" w:ascii="ＭＳ 明朝" w:hAnsi="ＭＳ 明朝"/>
          <w:sz w:val="24"/>
        </w:rPr>
        <w:t>【財務書類の体系（４表）】と付属明細表で構成されます。</w:t>
      </w:r>
    </w:p>
    <w:p>
      <w:pPr>
        <w:pStyle w:val="0"/>
        <w:rPr>
          <w:rFonts w:hint="default" w:ascii="HGP創英角ｺﾞｼｯｸUB" w:hAnsi="HGP創英角ｺﾞｼｯｸUB" w:eastAsia="HGP創英角ｺﾞｼｯｸUB"/>
          <w:color w:val="003399"/>
          <w:kern w:val="0"/>
          <w:sz w:val="24"/>
        </w:rPr>
      </w:pPr>
    </w:p>
    <w:p>
      <w:pPr>
        <w:pStyle w:val="0"/>
        <w:ind w:firstLine="240" w:firstLineChars="100"/>
        <w:rPr>
          <w:rFonts w:hint="default" w:ascii="HGP創英角ｺﾞｼｯｸUB" w:hAnsi="HGP創英角ｺﾞｼｯｸUB" w:eastAsia="HGP創英角ｺﾞｼｯｸUB"/>
          <w:color w:val="003399"/>
          <w:kern w:val="0"/>
          <w:sz w:val="24"/>
        </w:rPr>
      </w:pPr>
      <w:r>
        <w:rPr>
          <w:rFonts w:hint="eastAsia" w:ascii="HGP創英角ｺﾞｼｯｸUB" w:hAnsi="HGP創英角ｺﾞｼｯｸUB" w:eastAsia="HGP創英角ｺﾞｼｯｸUB"/>
          <w:color w:val="003399"/>
          <w:kern w:val="0"/>
          <w:sz w:val="24"/>
        </w:rPr>
        <w:t>■財務書類４表構成の相互関係</w:t>
      </w:r>
    </w:p>
    <w:p>
      <w:pPr>
        <w:pStyle w:val="0"/>
        <w:spacing w:line="0" w:lineRule="atLeast"/>
        <w:rPr>
          <w:rFonts w:hint="default" w:ascii="ＭＳ 明朝" w:hAnsi="ＭＳ 明朝"/>
        </w:rPr>
      </w:pPr>
    </w:p>
    <w:tbl>
      <w:tblPr>
        <w:tblStyle w:val="11"/>
        <w:tblW w:w="9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31"/>
        <w:gridCol w:w="1231"/>
        <w:gridCol w:w="765"/>
        <w:gridCol w:w="1596"/>
        <w:gridCol w:w="805"/>
        <w:gridCol w:w="1596"/>
        <w:gridCol w:w="704"/>
        <w:gridCol w:w="1559"/>
      </w:tblGrid>
      <w:tr>
        <w:trPr/>
        <w:tc>
          <w:tcPr>
            <w:tcW w:w="2462" w:type="dxa"/>
            <w:gridSpan w:val="2"/>
            <w:tcBorders>
              <w:top w:val="single" w:color="FFFFFF" w:sz="4" w:space="0"/>
              <w:left w:val="single" w:color="FFFFFF" w:sz="4" w:space="0"/>
              <w:bottom w:val="none" w:color="auto" w:sz="0" w:space="0"/>
              <w:right w:val="single" w:color="FFFFFF" w:sz="4"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貸借対照表</w:t>
            </w:r>
          </w:p>
        </w:tc>
        <w:tc>
          <w:tcPr>
            <w:tcW w:w="765"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tcBorders>
              <w:top w:val="single" w:color="FFFFFF" w:sz="4" w:space="0"/>
              <w:left w:val="single" w:color="FFFFFF" w:sz="4" w:space="0"/>
              <w:bottom w:val="none" w:color="auto" w:sz="0" w:space="0"/>
              <w:right w:val="single" w:color="FFFFFF" w:sz="4"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行政コスト</w:t>
            </w:r>
          </w:p>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計算書</w:t>
            </w:r>
          </w:p>
        </w:tc>
        <w:tc>
          <w:tcPr>
            <w:tcW w:w="805"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tcBorders>
              <w:top w:val="single" w:color="FFFFFF" w:sz="4" w:space="0"/>
              <w:left w:val="single" w:color="FFFFFF" w:sz="4" w:space="0"/>
              <w:bottom w:val="none" w:color="auto" w:sz="0" w:space="0"/>
              <w:right w:val="single" w:color="FFFFFF" w:sz="4"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純資産変動</w:t>
            </w:r>
          </w:p>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計算書</w:t>
            </w:r>
          </w:p>
        </w:tc>
        <w:tc>
          <w:tcPr>
            <w:tcW w:w="704"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59" w:type="dxa"/>
            <w:tcBorders>
              <w:top w:val="single" w:color="FFFFFF" w:sz="4" w:space="0"/>
              <w:left w:val="single" w:color="FFFFFF" w:sz="4" w:space="0"/>
              <w:bottom w:val="none" w:color="auto" w:sz="0" w:space="0"/>
              <w:right w:val="single" w:color="FFFFFF" w:sz="4"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資金収支</w:t>
            </w:r>
          </w:p>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計算書</w:t>
            </w:r>
          </w:p>
        </w:tc>
      </w:tr>
      <w:tr>
        <w:trPr>
          <w:trHeight w:val="587" w:hRule="atLeast"/>
        </w:trPr>
        <w:tc>
          <w:tcPr>
            <w:tcW w:w="1231" w:type="dxa"/>
            <w:tcBorders>
              <w:top w:val="none" w:color="auto" w:sz="0" w:space="0"/>
              <w:left w:val="none" w:color="auto" w:sz="0" w:space="0"/>
              <w:bottom w:val="single" w:color="FFFFFF"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資産</w:t>
            </w:r>
          </w:p>
        </w:tc>
        <w:tc>
          <w:tcPr>
            <w:tcW w:w="1231" w:type="dxa"/>
            <w:tcBorders>
              <w:top w:val="none" w:color="auto" w:sz="0" w:space="0"/>
              <w:left w:val="none" w:color="auto" w:sz="0" w:space="0"/>
              <w:bottom w:val="single" w:color="FFFFFF"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負債</w:t>
            </w:r>
          </w:p>
        </w:tc>
        <w:tc>
          <w:tcPr>
            <w:tcW w:w="765" w:type="dxa"/>
            <w:vMerge w:val="restart"/>
            <w:tcBorders>
              <w:top w:val="single" w:color="FFFFFF"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経常費用</w:t>
            </w:r>
          </w:p>
        </w:tc>
        <w:tc>
          <w:tcPr>
            <w:tcW w:w="805" w:type="dxa"/>
            <w:vMerge w:val="restart"/>
            <w:tcBorders>
              <w:top w:val="single" w:color="FFFFFF"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default" w:ascii="ＭＳ ゴシック" w:hAnsi="ＭＳ ゴシック" w:eastAsia="ＭＳ ゴシック"/>
                <w:sz w:val="20"/>
              </w:rPr>
              <mc:AlternateContent>
                <mc:Choice Requires="wps">
                  <w:drawing>
                    <wp:anchor distT="0" distB="0" distL="114299" distR="114299" simplePos="0" relativeHeight="32" behindDoc="0" locked="0" layoutInCell="1" hidden="0" allowOverlap="1">
                      <wp:simplePos x="0" y="0"/>
                      <wp:positionH relativeFrom="column">
                        <wp:posOffset>198120</wp:posOffset>
                      </wp:positionH>
                      <wp:positionV relativeFrom="paragraph">
                        <wp:posOffset>513715</wp:posOffset>
                      </wp:positionV>
                      <wp:extent cx="0" cy="1054735"/>
                      <wp:effectExtent l="635" t="0" r="29845" b="10160"/>
                      <wp:wrapNone/>
                      <wp:docPr id="1028" name="直線矢印コネクタ 10"/>
                      <a:graphic xmlns:a="http://schemas.openxmlformats.org/drawingml/2006/main">
                        <a:graphicData uri="http://schemas.microsoft.com/office/word/2010/wordprocessingShape">
                          <wps:wsp>
                            <wps:cNvPr id="1028" name="直線矢印コネクタ 10"/>
                            <wps:cNvCnPr/>
                            <wps:spPr>
                              <a:xfrm>
                                <a:off x="0" y="0"/>
                                <a:ext cx="0" cy="1054735"/>
                              </a:xfrm>
                              <a:prstGeom prst="straightConnector1">
                                <a:avLst/>
                              </a:prstGeom>
                              <a:noFill/>
                              <a:ln w="15875">
                                <a:solidFill>
                                  <a:srgbClr val="000000"/>
                                </a:solidFill>
                                <a:round/>
                                <a:headEnd/>
                                <a:tailEn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0" style="mso-wrap-distance-right:8.94pt;mso-wrap-distance-bottom:0pt;margin-top:40.450000000000003pt;mso-position-vertical-relative:text;mso-position-horizontal-relative:text;position:absolute;height:83.05pt;mso-wrap-distance-top:0pt;width:0pt;mso-wrap-distance-left:8.94pt;margin-left:15.6pt;z-index:32;" o:spid="_x0000_s1028" o:allowincell="t" o:allowoverlap="t" filled="f" stroked="t" strokecolor="#000000" strokeweight="1.25pt" o:spt="32" type="#_x0000_t32">
                      <v:fill/>
                      <v:stroke filltype="solid"/>
                      <v:imagedata o:title=""/>
                      <o:lock v:ext="edit" shapetype="t"/>
                      <w10:wrap type="none" anchorx="text" anchory="text"/>
                    </v:shape>
                  </w:pict>
                </mc:Fallback>
              </mc:AlternateContent>
            </w:r>
            <w:r>
              <w:rPr>
                <w:rFonts w:hint="default" w:ascii="ＭＳ ゴシック" w:hAnsi="ＭＳ ゴシック" w:eastAsia="ＭＳ ゴシック"/>
                <w:sz w:val="20"/>
              </w:rPr>
              <mc:AlternateContent>
                <mc:Choice Requires="wps">
                  <w:drawing>
                    <wp:anchor distT="4294967295" distB="4294967295" distL="114300" distR="114300" simplePos="0" relativeHeight="33" behindDoc="0" locked="1" layoutInCell="1" hidden="0" allowOverlap="1">
                      <wp:simplePos x="0" y="0"/>
                      <wp:positionH relativeFrom="column">
                        <wp:posOffset>-55245</wp:posOffset>
                      </wp:positionH>
                      <wp:positionV relativeFrom="page">
                        <wp:posOffset>1563370</wp:posOffset>
                      </wp:positionV>
                      <wp:extent cx="250190" cy="0"/>
                      <wp:effectExtent l="635" t="24130" r="29210" b="34290"/>
                      <wp:wrapNone/>
                      <wp:docPr id="1029" name="直線矢印コネクタ 11"/>
                      <a:graphic xmlns:a="http://schemas.openxmlformats.org/drawingml/2006/main">
                        <a:graphicData uri="http://schemas.microsoft.com/office/word/2010/wordprocessingShape">
                          <wps:wsp>
                            <wps:cNvPr id="1029" name="直線矢印コネクタ 11"/>
                            <wps:cNvCnPr/>
                            <wps:spPr>
                              <a:xfrm flipH="1">
                                <a:off x="0" y="0"/>
                                <a:ext cx="250190" cy="0"/>
                              </a:xfrm>
                              <a:prstGeom prst="straightConnector1">
                                <a:avLst/>
                              </a:prstGeom>
                              <a:noFill/>
                              <a:ln w="15875">
                                <a:solidFill>
                                  <a:srgbClr val="000000"/>
                                </a:solidFill>
                                <a:round/>
                                <a:headEnd/>
                                <a:tailEnd type="triangle"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1" style="flip:x;mso-wrap-distance-right:9pt;mso-wrap-distance-bottom:0pt;margin-top:123.1pt;mso-position-vertical-relative:page;mso-position-horizontal-relative:text;position:absolute;height:0pt;mso-wrap-distance-top:0pt;width:19.7pt;mso-wrap-distance-left:9pt;margin-left:-4.34pt;z-index:33;" o:spid="_x0000_s1029" o:allowincell="t" o:allowoverlap="t" filled="f" stroked="t" strokecolor="#000000" strokeweight="1.25pt" o:spt="32" type="#_x0000_t32">
                      <v:fill/>
                      <v:stroke filltype="solid" endarrow="block" endarrowwidth="medium" endarrowlength="medium"/>
                      <v:imagedata o:title=""/>
                      <o:lock v:ext="edit" shapetype="t"/>
                      <w10:wrap type="none" anchorx="text" anchory="page"/>
                      <w10:anchorlock/>
                    </v:shape>
                  </w:pict>
                </mc:Fallback>
              </mc:AlternateContent>
            </w:r>
            <w:r>
              <w:rPr>
                <w:rFonts w:hint="default" w:ascii="ＭＳ ゴシック" w:hAnsi="ＭＳ ゴシック" w:eastAsia="ＭＳ ゴシック"/>
                <w:sz w:val="20"/>
              </w:rPr>
              <mc:AlternateContent>
                <mc:Choice Requires="wps">
                  <w:drawing>
                    <wp:anchor distT="4294967295" distB="4294967295" distL="114300" distR="114300" simplePos="0" relativeHeight="34" behindDoc="0" locked="0" layoutInCell="1" hidden="0" allowOverlap="1">
                      <wp:simplePos x="0" y="0"/>
                      <wp:positionH relativeFrom="column">
                        <wp:posOffset>196215</wp:posOffset>
                      </wp:positionH>
                      <wp:positionV relativeFrom="paragraph">
                        <wp:posOffset>520700</wp:posOffset>
                      </wp:positionV>
                      <wp:extent cx="246380" cy="0"/>
                      <wp:effectExtent l="0" t="24130" r="29210" b="34290"/>
                      <wp:wrapNone/>
                      <wp:docPr id="1030" name="直線矢印コネクタ 12"/>
                      <a:graphic xmlns:a="http://schemas.openxmlformats.org/drawingml/2006/main">
                        <a:graphicData uri="http://schemas.microsoft.com/office/word/2010/wordprocessingShape">
                          <wps:wsp>
                            <wps:cNvPr id="1030" name="直線矢印コネクタ 12"/>
                            <wps:cNvCnPr/>
                            <wps:spPr>
                              <a:xfrm>
                                <a:off x="0" y="0"/>
                                <a:ext cx="246380" cy="0"/>
                              </a:xfrm>
                              <a:prstGeom prst="straightConnector1">
                                <a:avLst/>
                              </a:prstGeom>
                              <a:noFill/>
                              <a:ln w="15875">
                                <a:solidFill>
                                  <a:srgbClr val="000000"/>
                                </a:solidFill>
                                <a:round/>
                                <a:headEnd/>
                                <a:tailEnd type="triangle"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2" style="mso-wrap-distance-right:9pt;mso-wrap-distance-bottom:0pt;margin-top:41pt;mso-position-vertical-relative:text;mso-position-horizontal-relative:text;position:absolute;height:0pt;mso-wrap-distance-top:0pt;width:19.39pt;mso-wrap-distance-left:9pt;margin-left:15.45pt;z-index:34;" o:spid="_x0000_s1030" o:allowincell="t" o:allowoverlap="t" filled="f" stroked="t" strokecolor="#000000" strokeweight="1.25pt" o:spt="32" type="#_x0000_t32">
                      <v:fill/>
                      <v:stroke filltype="solid" endarrow="block" endarrowwidth="medium" endarrowlength="medium"/>
                      <v:imagedata o:title=""/>
                      <o:lock v:ext="edit" shapetype="t"/>
                      <w10:wrap type="none" anchorx="text" anchory="text"/>
                    </v:shape>
                  </w:pict>
                </mc:Fallback>
              </mc:AlternateContent>
            </w:r>
          </w:p>
        </w:tc>
        <w:tc>
          <w:tcPr>
            <w:tcW w:w="15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前年度末残高</w:t>
            </w:r>
          </w:p>
        </w:tc>
        <w:tc>
          <w:tcPr>
            <w:tcW w:w="704" w:type="dxa"/>
            <w:vMerge w:val="restart"/>
            <w:tcBorders>
              <w:top w:val="single" w:color="FFFFFF"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59" w:type="dxa"/>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業務活動収支</w:t>
            </w:r>
          </w:p>
        </w:tc>
      </w:tr>
      <w:tr>
        <w:trPr>
          <w:trHeight w:val="554" w:hRule="atLeast"/>
        </w:trPr>
        <w:tc>
          <w:tcPr>
            <w:tcW w:w="1231" w:type="dxa"/>
            <w:vMerge w:val="restart"/>
            <w:tcBorders>
              <w:top w:val="single" w:color="FFFFFF" w:sz="4" w:space="0"/>
              <w:left w:val="none" w:color="auto" w:sz="0" w:space="0"/>
              <w:bottom w:val="single" w:color="FFFFFF" w:sz="4" w:space="0"/>
              <w:right w:val="none" w:color="auto" w:sz="0" w:space="0"/>
              <w:tl2br w:val="none" w:color="auto" w:sz="0" w:space="0"/>
              <w:tr2bl w:val="none" w:color="auto" w:sz="0" w:space="0"/>
            </w:tcBorders>
            <w:shd w:val="clear" w:color="auto" w:fill="D6E3BC"/>
            <w:vAlign w:val="center"/>
          </w:tcPr>
          <w:p>
            <w:pPr>
              <w:pStyle w:val="0"/>
              <w:spacing w:before="180" w:beforeLines="50" w:beforeAutospacing="0" w:line="0" w:lineRule="atLeast"/>
              <w:jc w:val="center"/>
              <w:rPr>
                <w:rFonts w:hint="default" w:ascii="ＭＳ ゴシック" w:hAnsi="ＭＳ ゴシック" w:eastAsia="ＭＳ ゴシック"/>
                <w:sz w:val="20"/>
              </w:rPr>
            </w:pPr>
            <w:r>
              <w:rPr>
                <w:rFonts w:hint="default" w:ascii="ＭＳ 明朝" w:hAnsi="ＭＳ 明朝"/>
                <w:sz w:val="24"/>
              </w:rPr>
              <mc:AlternateContent>
                <mc:Choice Requires="wps">
                  <w:drawing>
                    <wp:anchor distT="0" distB="0" distL="114300" distR="114300" simplePos="0" relativeHeight="25" behindDoc="0" locked="1" layoutInCell="1" hidden="0" allowOverlap="1">
                      <wp:simplePos x="0" y="0"/>
                      <wp:positionH relativeFrom="column">
                        <wp:posOffset>100965</wp:posOffset>
                      </wp:positionH>
                      <wp:positionV relativeFrom="paragraph">
                        <wp:posOffset>104140</wp:posOffset>
                      </wp:positionV>
                      <wp:extent cx="488315" cy="494665"/>
                      <wp:effectExtent l="635" t="635" r="29845" b="10795"/>
                      <wp:wrapNone/>
                      <wp:docPr id="1031" name="大かっこ 9"/>
                      <a:graphic xmlns:a="http://schemas.openxmlformats.org/drawingml/2006/main">
                        <a:graphicData uri="http://schemas.microsoft.com/office/word/2010/wordprocessingShape">
                          <wps:wsp>
                            <wps:cNvPr id="1031" name="大かっこ 9"/>
                            <wps:cNvSpPr>
                              <a:spLocks noChangeArrowheads="1"/>
                            </wps:cNvSpPr>
                            <wps:spPr>
                              <a:xfrm>
                                <a:off x="0" y="0"/>
                                <a:ext cx="488315" cy="494665"/>
                              </a:xfrm>
                              <a:prstGeom prst="bracketPair">
                                <a:avLst>
                                  <a:gd name="adj" fmla="val 16667"/>
                                </a:avLst>
                              </a:prstGeom>
                              <a:noFill/>
                              <a:ln w="9525">
                                <a:solidFill>
                                  <a:srgbClr val="000000"/>
                                </a:solidFill>
                                <a:round/>
                                <a:headEnd/>
                                <a:tailEn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8.19pt;mso-position-vertical-relative:text;mso-position-horizontal-relative:text;position:absolute;height:38.950000000000003pt;mso-wrap-distance-top:0pt;width:38.450000000000003pt;mso-wrap-distance-left:9pt;margin-left:7.95pt;z-index:25;" o:spid="_x0000_s1031" o:allowincell="t" o:allowoverlap="t" filled="f" stroked="t" strokecolor="#000000" strokeweight="0.75pt" o:spt="185" type="#_x0000_t185" adj="3600">
                      <v:fill/>
                      <v:stroke filltype="solid"/>
                      <v:textbox style="layout-flow:horizontal;"/>
                      <v:imagedata o:title=""/>
                      <w10:wrap type="none" anchorx="text" anchory="text"/>
                      <w10:anchorlock/>
                    </v:shape>
                  </w:pict>
                </mc:Fallback>
              </mc:AlternateContent>
            </w:r>
            <w:r>
              <w:rPr>
                <w:rFonts w:hint="eastAsia" w:ascii="ＭＳ ゴシック" w:hAnsi="ＭＳ ゴシック" w:eastAsia="ＭＳ ゴシック"/>
                <w:sz w:val="20"/>
              </w:rPr>
              <w:t>うち</w:t>
            </w:r>
          </w:p>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現金</w:t>
            </w:r>
          </w:p>
          <w:p>
            <w:pPr>
              <w:pStyle w:val="0"/>
              <w:spacing w:line="0" w:lineRule="atLeast"/>
              <w:jc w:val="center"/>
              <w:rPr>
                <w:rFonts w:hint="default" w:ascii="ＭＳ ゴシック" w:hAnsi="ＭＳ ゴシック" w:eastAsia="ＭＳ ゴシック"/>
                <w:sz w:val="20"/>
              </w:rPr>
            </w:pPr>
            <w:r>
              <w:rPr>
                <w:rFonts w:hint="default" w:ascii="ＭＳ ゴシック" w:hAnsi="ＭＳ ゴシック" w:eastAsia="ＭＳ ゴシック"/>
                <w:sz w:val="20"/>
              </w:rPr>
              <mc:AlternateContent>
                <mc:Choice Requires="wps">
                  <w:drawing>
                    <wp:anchor distT="0" distB="0" distL="114300" distR="114300" simplePos="0" relativeHeight="28" behindDoc="0" locked="0" layoutInCell="1" hidden="0" allowOverlap="1">
                      <wp:simplePos x="0" y="0"/>
                      <wp:positionH relativeFrom="column">
                        <wp:posOffset>316865</wp:posOffset>
                      </wp:positionH>
                      <wp:positionV relativeFrom="page">
                        <wp:posOffset>717550</wp:posOffset>
                      </wp:positionV>
                      <wp:extent cx="3175" cy="984250"/>
                      <wp:effectExtent l="20955" t="635" r="53340" b="10795"/>
                      <wp:wrapNone/>
                      <wp:docPr id="1032" name="直線矢印コネクタ 8"/>
                      <a:graphic xmlns:a="http://schemas.openxmlformats.org/drawingml/2006/main">
                        <a:graphicData uri="http://schemas.microsoft.com/office/word/2010/wordprocessingShape">
                          <wps:wsp>
                            <wps:cNvPr id="1032" name="直線矢印コネクタ 8"/>
                            <wps:cNvCnPr/>
                            <wps:spPr>
                              <a:xfrm flipV="1">
                                <a:off x="0" y="0"/>
                                <a:ext cx="3175" cy="984250"/>
                              </a:xfrm>
                              <a:prstGeom prst="straightConnector1">
                                <a:avLst/>
                              </a:prstGeom>
                              <a:noFill/>
                              <a:ln w="15875">
                                <a:solidFill>
                                  <a:srgbClr val="000000"/>
                                </a:solidFill>
                                <a:round/>
                                <a:headEnd/>
                                <a:tailEnd type="triangle"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8" style="flip:y;mso-wrap-distance-right:9pt;mso-wrap-distance-bottom:0pt;margin-top:56.5pt;mso-position-vertical-relative:page;mso-position-horizontal-relative:text;position:absolute;height:77.5pt;mso-wrap-distance-top:0pt;width:0.25pt;mso-wrap-distance-left:9pt;margin-left:24.95pt;z-index:28;" o:spid="_x0000_s1032" o:allowincell="t" o:allowoverlap="t" filled="f" stroked="t" strokecolor="#000000" strokeweight="1.25pt" o:spt="32" type="#_x0000_t32">
                      <v:fill/>
                      <v:stroke filltype="solid" endarrow="block" endarrowwidth="medium" endarrowlength="medium"/>
                      <v:imagedata o:title=""/>
                      <o:lock v:ext="edit" shapetype="t"/>
                      <w10:wrap type="none" anchorx="text" anchory="page"/>
                    </v:shape>
                  </w:pict>
                </mc:Fallback>
              </mc:AlternateContent>
            </w:r>
            <w:r>
              <w:rPr>
                <w:rFonts w:hint="eastAsia" w:ascii="ＭＳ ゴシック" w:hAnsi="ＭＳ ゴシック" w:eastAsia="ＭＳ ゴシック"/>
                <w:sz w:val="20"/>
              </w:rPr>
              <w:t>預金</w:t>
            </w:r>
          </w:p>
        </w:tc>
        <w:tc>
          <w:tcPr>
            <w:tcW w:w="1231" w:type="dxa"/>
            <w:vMerge w:val="restart"/>
            <w:tcBorders>
              <w:top w:val="single" w:color="FFFFFF"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765"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経常収益</w:t>
            </w:r>
          </w:p>
        </w:tc>
        <w:tc>
          <w:tcPr>
            <w:tcW w:w="805"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shd w:val="clear" w:color="auto" w:fill="FBD4B4"/>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純行政コスト</w:t>
            </w:r>
          </w:p>
        </w:tc>
        <w:tc>
          <w:tcPr>
            <w:tcW w:w="704"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59" w:type="dxa"/>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投資活動収支</w:t>
            </w:r>
          </w:p>
        </w:tc>
      </w:tr>
      <w:tr>
        <w:trPr>
          <w:trHeight w:val="560" w:hRule="atLeast"/>
        </w:trPr>
        <w:tc>
          <w:tcPr>
            <w:tcW w:w="1231" w:type="dxa"/>
            <w:vMerge w:val="continue"/>
            <w:tcBorders>
              <w:top w:val="none" w:color="auto" w:sz="0" w:space="0"/>
              <w:left w:val="none" w:color="auto" w:sz="0" w:space="0"/>
              <w:bottom w:val="single" w:color="FFFFFF" w:sz="4" w:space="0"/>
              <w:right w:val="none" w:color="auto" w:sz="0" w:space="0"/>
              <w:tl2br w:val="none" w:color="auto" w:sz="0" w:space="0"/>
              <w:tr2bl w:val="none" w:color="auto" w:sz="0" w:space="0"/>
            </w:tcBorders>
            <w:shd w:val="clear" w:color="auto" w:fill="D6E3BC"/>
            <w:vAlign w:val="center"/>
          </w:tcPr>
          <w:p>
            <w:pPr>
              <w:pStyle w:val="0"/>
              <w:spacing w:line="0" w:lineRule="atLeast"/>
              <w:jc w:val="center"/>
              <w:rPr>
                <w:rFonts w:hint="default" w:ascii="ＭＳ ゴシック" w:hAnsi="ＭＳ ゴシック" w:eastAsia="ＭＳ ゴシック"/>
                <w:sz w:val="20"/>
              </w:rPr>
            </w:pPr>
          </w:p>
        </w:tc>
        <w:tc>
          <w:tcPr>
            <w:tcW w:w="1231"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765"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臨時損失</w:t>
            </w:r>
          </w:p>
        </w:tc>
        <w:tc>
          <w:tcPr>
            <w:tcW w:w="805"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財源</w:t>
            </w:r>
          </w:p>
        </w:tc>
        <w:tc>
          <w:tcPr>
            <w:tcW w:w="704"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59" w:type="dxa"/>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財務活動収支</w:t>
            </w:r>
          </w:p>
        </w:tc>
      </w:tr>
      <w:tr>
        <w:trPr/>
        <w:tc>
          <w:tcPr>
            <w:tcW w:w="1231" w:type="dxa"/>
            <w:vMerge w:val="restart"/>
            <w:tcBorders>
              <w:top w:val="single" w:color="FFFFFF"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23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765"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臨時利益</w:t>
            </w:r>
          </w:p>
        </w:tc>
        <w:tc>
          <w:tcPr>
            <w:tcW w:w="805"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固定資産等</w:t>
            </w:r>
          </w:p>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の変動</w:t>
            </w:r>
          </w:p>
        </w:tc>
        <w:tc>
          <w:tcPr>
            <w:tcW w:w="704"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前年度末残高</w:t>
            </w:r>
          </w:p>
        </w:tc>
      </w:tr>
      <w:tr>
        <w:trPr>
          <w:trHeight w:val="542" w:hRule="atLeast"/>
        </w:trPr>
        <w:tc>
          <w:tcPr>
            <w:tcW w:w="1231"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231" w:type="dxa"/>
            <w:shd w:val="clear" w:color="auto" w:fill="B6DDE8"/>
            <w:vAlign w:val="center"/>
          </w:tcPr>
          <w:p>
            <w:pPr>
              <w:pStyle w:val="0"/>
              <w:spacing w:before="126" w:beforeLines="35" w:beforeAutospacing="0" w:line="0" w:lineRule="atLeast"/>
              <w:jc w:val="center"/>
              <w:rPr>
                <w:rFonts w:hint="default" w:ascii="ＭＳ ゴシック" w:hAnsi="ＭＳ ゴシック" w:eastAsia="ＭＳ ゴシック"/>
                <w:sz w:val="20"/>
              </w:rPr>
            </w:pPr>
            <w:r>
              <w:rPr>
                <w:rFonts w:hint="default" w:ascii="ＭＳ ゴシック" w:hAnsi="ＭＳ ゴシック" w:eastAsia="ＭＳ ゴシック"/>
                <w:sz w:val="20"/>
              </w:rPr>
              <mc:AlternateContent>
                <mc:Choice Requires="wps">
                  <w:drawing>
                    <wp:anchor distT="0" distB="0" distL="114299" distR="114299" simplePos="0" relativeHeight="31" behindDoc="0" locked="0" layoutInCell="1" hidden="0" allowOverlap="1">
                      <wp:simplePos x="0" y="0"/>
                      <wp:positionH relativeFrom="column">
                        <wp:posOffset>326390</wp:posOffset>
                      </wp:positionH>
                      <wp:positionV relativeFrom="page">
                        <wp:posOffset>346075</wp:posOffset>
                      </wp:positionV>
                      <wp:extent cx="0" cy="146685"/>
                      <wp:effectExtent l="24130" t="635" r="53340" b="10160"/>
                      <wp:wrapNone/>
                      <wp:docPr id="1033" name="直線矢印コネクタ 7"/>
                      <a:graphic xmlns:a="http://schemas.openxmlformats.org/drawingml/2006/main">
                        <a:graphicData uri="http://schemas.microsoft.com/office/word/2010/wordprocessingShape">
                          <wps:wsp>
                            <wps:cNvPr id="1033" name="直線矢印コネクタ 7"/>
                            <wps:cNvCnPr/>
                            <wps:spPr>
                              <a:xfrm flipV="1">
                                <a:off x="0" y="0"/>
                                <a:ext cx="0" cy="146685"/>
                              </a:xfrm>
                              <a:prstGeom prst="straightConnector1">
                                <a:avLst/>
                              </a:prstGeom>
                              <a:noFill/>
                              <a:ln w="15875">
                                <a:solidFill>
                                  <a:srgbClr val="000000"/>
                                </a:solidFill>
                                <a:round/>
                                <a:headEnd/>
                                <a:tailEnd type="triangle"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 style="flip:y;mso-wrap-distance-right:8.94pt;mso-wrap-distance-bottom:0pt;margin-top:27.25pt;mso-position-vertical-relative:page;mso-position-horizontal-relative:text;position:absolute;height:11.55pt;mso-wrap-distance-top:0pt;width:0pt;mso-wrap-distance-left:8.94pt;margin-left:25.7pt;z-index:31;" o:spid="_x0000_s1033" o:allowincell="t" o:allowoverlap="t" filled="f" stroked="t" strokecolor="#000000" strokeweight="1.25pt" o:spt="32" type="#_x0000_t32">
                      <v:fill/>
                      <v:stroke filltype="solid" endarrow="block" endarrowwidth="medium" endarrowlength="medium"/>
                      <v:imagedata o:title=""/>
                      <o:lock v:ext="edit" shapetype="t"/>
                      <w10:wrap type="none" anchorx="text" anchory="page"/>
                    </v:shape>
                  </w:pict>
                </mc:Fallback>
              </mc:AlternateContent>
            </w:r>
            <w:r>
              <w:rPr>
                <w:rFonts w:hint="eastAsia" w:ascii="ＭＳ ゴシック" w:hAnsi="ＭＳ ゴシック" w:eastAsia="ＭＳ ゴシック"/>
                <w:sz w:val="20"/>
              </w:rPr>
              <w:t>純資産</w:t>
            </w:r>
          </w:p>
        </w:tc>
        <w:tc>
          <w:tcPr>
            <w:tcW w:w="765" w:type="dxa"/>
            <w:vMerge w:val="continue"/>
            <w:tcBorders>
              <w:top w:val="none" w:color="auto" w:sz="0" w:space="0"/>
              <w:left w:val="none" w:color="auto" w:sz="0" w:space="0"/>
              <w:bottom w:val="single" w:color="FFFFFF"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shd w:val="clear" w:color="auto" w:fill="FBD4B4"/>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純行政コスト</w:t>
            </w:r>
          </w:p>
        </w:tc>
        <w:tc>
          <w:tcPr>
            <w:tcW w:w="805" w:type="dxa"/>
            <w:vMerge w:val="continue"/>
            <w:tcBorders>
              <w:top w:val="none" w:color="auto" w:sz="0" w:space="0"/>
              <w:left w:val="none" w:color="auto" w:sz="0" w:space="0"/>
              <w:bottom w:val="single" w:color="FFFFFF"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shd w:val="clear" w:color="auto" w:fill="B6DDE8"/>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本年度末残高</w:t>
            </w:r>
          </w:p>
        </w:tc>
        <w:tc>
          <w:tcPr>
            <w:tcW w:w="704" w:type="dxa"/>
            <w:vMerge w:val="continue"/>
            <w:tcBorders>
              <w:top w:val="none" w:color="auto" w:sz="0" w:space="0"/>
              <w:left w:val="none" w:color="auto" w:sz="0" w:space="0"/>
              <w:bottom w:val="single" w:color="FFFFFF"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59" w:type="dxa"/>
            <w:shd w:val="clear" w:color="auto" w:fill="D6E3BC"/>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本年度末残高</w:t>
            </w:r>
          </w:p>
        </w:tc>
      </w:tr>
    </w:tbl>
    <w:p>
      <w:pPr>
        <w:pStyle w:val="0"/>
        <w:spacing w:line="0" w:lineRule="atLeast"/>
        <w:rPr>
          <w:rFonts w:hint="default" w:ascii="ＭＳ 明朝" w:hAnsi="ＭＳ 明朝"/>
        </w:rPr>
      </w:pPr>
      <w:r>
        <w:rPr>
          <w:rFonts w:hint="default" w:ascii="ＭＳ ゴシック" w:hAnsi="ＭＳ ゴシック" w:eastAsia="ＭＳ ゴシック"/>
          <w:sz w:val="20"/>
        </w:rPr>
        <mc:AlternateContent>
          <mc:Choice Requires="wps">
            <w:drawing>
              <wp:anchor distT="0" distB="0" distL="114299" distR="114299" simplePos="0" relativeHeight="27" behindDoc="0" locked="0" layoutInCell="1" hidden="0" allowOverlap="1">
                <wp:simplePos x="0" y="0"/>
                <wp:positionH relativeFrom="column">
                  <wp:posOffset>5589905</wp:posOffset>
                </wp:positionH>
                <wp:positionV relativeFrom="page">
                  <wp:posOffset>4364355</wp:posOffset>
                </wp:positionV>
                <wp:extent cx="0" cy="296545"/>
                <wp:effectExtent l="635" t="635" r="29845" b="10160"/>
                <wp:wrapNone/>
                <wp:docPr id="1034" name="直線矢印コネクタ 6"/>
                <a:graphic xmlns:a="http://schemas.openxmlformats.org/drawingml/2006/main">
                  <a:graphicData uri="http://schemas.microsoft.com/office/word/2010/wordprocessingShape">
                    <wps:wsp>
                      <wps:cNvPr id="1034" name="直線矢印コネクタ 6"/>
                      <wps:cNvCnPr/>
                      <wps:spPr>
                        <a:xfrm flipV="1">
                          <a:off x="0" y="0"/>
                          <a:ext cx="0" cy="296545"/>
                        </a:xfrm>
                        <a:prstGeom prst="straightConnector1">
                          <a:avLst/>
                        </a:prstGeom>
                        <a:noFill/>
                        <a:ln w="15875">
                          <a:solidFill>
                            <a:srgbClr val="000000"/>
                          </a:solidFill>
                          <a:round/>
                          <a:headEnd/>
                          <a:tailEn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flip:y;mso-wrap-distance-right:8.94pt;mso-wrap-distance-bottom:0pt;margin-top:343.65pt;mso-position-vertical-relative:page;mso-position-horizontal-relative:text;position:absolute;height:23.35pt;mso-wrap-distance-top:0pt;width:0pt;mso-wrap-distance-left:8.94pt;margin-left:440.15pt;z-index:27;" o:spid="_x0000_s1034" o:allowincell="t" o:allowoverlap="t" filled="f" stroked="t" strokecolor="#000000" strokeweight="1.25pt" o:spt="32" type="#_x0000_t32">
                <v:fill/>
                <v:stroke filltype="solid"/>
                <v:imagedata o:title=""/>
                <o:lock v:ext="edit" shapetype="t"/>
                <w10:wrap type="none" anchorx="text" anchory="page"/>
              </v:shape>
            </w:pict>
          </mc:Fallback>
        </mc:AlternateContent>
      </w:r>
      <w:r>
        <w:rPr>
          <w:rFonts w:hint="default" w:ascii="ＭＳ ゴシック" w:hAnsi="ＭＳ ゴシック" w:eastAsia="ＭＳ ゴシック"/>
          <w:sz w:val="20"/>
        </w:rPr>
        <mc:AlternateContent>
          <mc:Choice Requires="wps">
            <w:drawing>
              <wp:anchor distT="0" distB="0" distL="114299" distR="114299" simplePos="0" relativeHeight="30" behindDoc="0" locked="0" layoutInCell="1" hidden="0" allowOverlap="1">
                <wp:simplePos x="0" y="0"/>
                <wp:positionH relativeFrom="column">
                  <wp:posOffset>4098925</wp:posOffset>
                </wp:positionH>
                <wp:positionV relativeFrom="page">
                  <wp:posOffset>4366260</wp:posOffset>
                </wp:positionV>
                <wp:extent cx="0" cy="149225"/>
                <wp:effectExtent l="635" t="635" r="29845" b="10160"/>
                <wp:wrapNone/>
                <wp:docPr id="1035" name="直線矢印コネクタ 4"/>
                <a:graphic xmlns:a="http://schemas.openxmlformats.org/drawingml/2006/main">
                  <a:graphicData uri="http://schemas.microsoft.com/office/word/2010/wordprocessingShape">
                    <wps:wsp>
                      <wps:cNvPr id="1035" name="直線矢印コネクタ 4"/>
                      <wps:cNvCnPr/>
                      <wps:spPr>
                        <a:xfrm flipV="1">
                          <a:off x="0" y="0"/>
                          <a:ext cx="0" cy="149225"/>
                        </a:xfrm>
                        <a:prstGeom prst="straightConnector1">
                          <a:avLst/>
                        </a:prstGeom>
                        <a:noFill/>
                        <a:ln w="15875">
                          <a:solidFill>
                            <a:srgbClr val="000000"/>
                          </a:solidFill>
                          <a:round/>
                          <a:headEnd/>
                          <a:tailEn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 style="flip:y;mso-wrap-distance-right:8.94pt;mso-wrap-distance-bottom:0pt;margin-top:343.8pt;mso-position-vertical-relative:page;mso-position-horizontal-relative:text;position:absolute;height:11.75pt;mso-wrap-distance-top:0pt;width:0pt;mso-wrap-distance-left:8.94pt;margin-left:322.75pt;z-index:30;" o:spid="_x0000_s1035" o:allowincell="t" o:allowoverlap="t" filled="f" stroked="t" strokecolor="#000000" strokeweight="1.25pt" o:spt="32" type="#_x0000_t32">
                <v:fill/>
                <v:stroke filltype="solid"/>
                <v:imagedata o:title=""/>
                <o:lock v:ext="edit" shapetype="t"/>
                <w10:wrap type="none" anchorx="text" anchory="page"/>
              </v:shape>
            </w:pict>
          </mc:Fallback>
        </mc:AlternateContent>
      </w:r>
      <w:r>
        <w:rPr>
          <w:rFonts w:hint="default" w:ascii="ＭＳ ゴシック" w:hAnsi="ＭＳ ゴシック" w:eastAsia="ＭＳ ゴシック"/>
          <w:sz w:val="20"/>
        </w:rPr>
        <mc:AlternateContent>
          <mc:Choice Requires="wps">
            <w:drawing>
              <wp:anchor distT="0" distB="0" distL="114300" distR="114300" simplePos="0" relativeHeight="29" behindDoc="0" locked="0" layoutInCell="1" hidden="0" allowOverlap="1">
                <wp:simplePos x="0" y="0"/>
                <wp:positionH relativeFrom="column">
                  <wp:posOffset>1172210</wp:posOffset>
                </wp:positionH>
                <wp:positionV relativeFrom="paragraph">
                  <wp:posOffset>143510</wp:posOffset>
                </wp:positionV>
                <wp:extent cx="2929255" cy="1270"/>
                <wp:effectExtent l="635" t="635" r="29210" b="10795"/>
                <wp:wrapNone/>
                <wp:docPr id="1036" name="直線矢印コネクタ 5"/>
                <a:graphic xmlns:a="http://schemas.openxmlformats.org/drawingml/2006/main">
                  <a:graphicData uri="http://schemas.microsoft.com/office/word/2010/wordprocessingShape">
                    <wps:wsp>
                      <wps:cNvPr id="1036" name="直線矢印コネクタ 5"/>
                      <wps:cNvCnPr/>
                      <wps:spPr>
                        <a:xfrm flipV="1">
                          <a:off x="0" y="0"/>
                          <a:ext cx="2929255" cy="1270"/>
                        </a:xfrm>
                        <a:prstGeom prst="straightConnector1">
                          <a:avLst/>
                        </a:prstGeom>
                        <a:noFill/>
                        <a:ln w="15875">
                          <a:solidFill>
                            <a:srgbClr val="000000"/>
                          </a:solidFill>
                          <a:round/>
                          <a:headEnd/>
                          <a:tailEn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 style="flip:y;mso-wrap-distance-right:9pt;mso-wrap-distance-bottom:0pt;margin-top:11.3pt;mso-position-vertical-relative:text;mso-position-horizontal-relative:text;position:absolute;height:0.1pt;mso-wrap-distance-top:0pt;width:230.65pt;mso-wrap-distance-left:9pt;margin-left:92.3pt;z-index:29;" o:spid="_x0000_s1036" o:allowincell="t" o:allowoverlap="t" filled="f" stroked="t" strokecolor="#000000" strokeweight="1.25pt" o:spt="32" type="#_x0000_t32">
                <v:fill/>
                <v:stroke filltype="solid"/>
                <v:imagedata o:title=""/>
                <o:lock v:ext="edit" shapetype="t"/>
                <w10:wrap type="none" anchorx="text" anchory="text"/>
              </v:shape>
            </w:pict>
          </mc:Fallback>
        </mc:AlternateContent>
      </w:r>
    </w:p>
    <w:p>
      <w:pPr>
        <w:pStyle w:val="0"/>
        <w:spacing w:line="0" w:lineRule="atLeast"/>
        <w:rPr>
          <w:rFonts w:hint="default" w:ascii="ＭＳ 明朝" w:hAnsi="ＭＳ 明朝"/>
        </w:rPr>
      </w:pPr>
      <w:r>
        <w:rPr>
          <w:rFonts w:hint="default" w:ascii="ＭＳ 明朝" w:hAnsi="ＭＳ 明朝"/>
        </w:rPr>
        <mc:AlternateContent>
          <mc:Choice Requires="wps">
            <w:drawing>
              <wp:anchor distT="0" distB="0" distL="114300" distR="114300" simplePos="0" relativeHeight="26" behindDoc="0" locked="1" layoutInCell="1" hidden="0" allowOverlap="1">
                <wp:simplePos x="0" y="0"/>
                <wp:positionH relativeFrom="column">
                  <wp:posOffset>391795</wp:posOffset>
                </wp:positionH>
                <wp:positionV relativeFrom="paragraph">
                  <wp:posOffset>116840</wp:posOffset>
                </wp:positionV>
                <wp:extent cx="5201285" cy="1270"/>
                <wp:effectExtent l="635" t="635" r="29210" b="10795"/>
                <wp:wrapNone/>
                <wp:docPr id="1037" name="直線矢印コネクタ 2"/>
                <a:graphic xmlns:a="http://schemas.openxmlformats.org/drawingml/2006/main">
                  <a:graphicData uri="http://schemas.microsoft.com/office/word/2010/wordprocessingShape">
                    <wps:wsp>
                      <wps:cNvPr id="1037" name="直線矢印コネクタ 2"/>
                      <wps:cNvCnPr/>
                      <wps:spPr>
                        <a:xfrm flipV="1">
                          <a:off x="0" y="0"/>
                          <a:ext cx="5201285" cy="1270"/>
                        </a:xfrm>
                        <a:prstGeom prst="straightConnector1">
                          <a:avLst/>
                        </a:prstGeom>
                        <a:noFill/>
                        <a:ln w="15875">
                          <a:solidFill>
                            <a:srgbClr val="000000"/>
                          </a:solidFill>
                          <a:round/>
                          <a:headEnd/>
                          <a:tailEn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 style="flip:y;mso-wrap-distance-right:9pt;mso-wrap-distance-bottom:0pt;margin-top:9.19pt;mso-position-vertical-relative:text;mso-position-horizontal-relative:text;position:absolute;height:0.1pt;mso-wrap-distance-top:0pt;width:409.55pt;mso-wrap-distance-left:9pt;margin-left:30.85pt;z-index:26;" o:spid="_x0000_s1037" o:allowincell="t" o:allowoverlap="t" filled="f" stroked="t" strokecolor="#000000" strokeweight="1.25pt" o:spt="32" type="#_x0000_t32">
                <v:fill/>
                <v:stroke filltype="solid"/>
                <v:imagedata o:title=""/>
                <o:lock v:ext="edit" shapetype="t"/>
                <w10:wrap type="none" anchorx="text" anchory="text"/>
                <w10:anchorlock/>
              </v:shape>
            </w:pict>
          </mc:Fallback>
        </mc:AlternateContent>
      </w:r>
    </w:p>
    <w:p>
      <w:pPr>
        <w:pStyle w:val="0"/>
        <w:spacing w:line="0" w:lineRule="atLeast"/>
        <w:rPr>
          <w:rFonts w:hint="default" w:ascii="ＭＳ 明朝" w:hAnsi="ＭＳ 明朝"/>
        </w:rPr>
      </w:pPr>
      <w:r>
        <w:rPr>
          <w:rFonts w:hint="default" w:ascii="ＭＳ 明朝" w:hAnsi="ＭＳ 明朝"/>
        </w:rPr>
        <mc:AlternateContent>
          <mc:Choice Requires="wps">
            <w:drawing>
              <wp:anchor distT="0" distB="0" distL="114300" distR="114300" simplePos="0" relativeHeight="35" behindDoc="0" locked="0" layoutInCell="1" hidden="0" allowOverlap="1">
                <wp:simplePos x="0" y="0"/>
                <wp:positionH relativeFrom="column">
                  <wp:posOffset>4671695</wp:posOffset>
                </wp:positionH>
                <wp:positionV relativeFrom="paragraph">
                  <wp:posOffset>20955</wp:posOffset>
                </wp:positionV>
                <wp:extent cx="1536065" cy="310515"/>
                <wp:effectExtent l="0" t="0" r="635" b="635"/>
                <wp:wrapNone/>
                <wp:docPr id="1038" name="テキスト ボックス 3"/>
                <a:graphic xmlns:a="http://schemas.openxmlformats.org/drawingml/2006/main">
                  <a:graphicData uri="http://schemas.microsoft.com/office/word/2010/wordprocessingShape">
                    <wps:wsp>
                      <wps:cNvPr id="1038" name="テキスト ボックス 3"/>
                      <wps:cNvSpPr txBox="1">
                        <a:spLocks noChangeArrowheads="1"/>
                      </wps:cNvSpPr>
                      <wps:spPr>
                        <a:xfrm>
                          <a:off x="0" y="0"/>
                          <a:ext cx="1536065" cy="310515"/>
                        </a:xfrm>
                        <a:prstGeom prst="rect">
                          <a:avLst/>
                        </a:prstGeom>
                        <a:noFill/>
                        <a:ln>
                          <a:noFill/>
                        </a:ln>
                        <a:effectLst/>
                      </wps:spPr>
                      <wps:txbx>
                        <w:txbxContent>
                          <w:p>
                            <w:pPr>
                              <w:pStyle w:val="0"/>
                              <w:rPr>
                                <w:rFonts w:hint="default"/>
                              </w:rPr>
                            </w:pPr>
                            <w:r>
                              <w:rPr>
                                <w:rFonts w:hint="eastAsia" w:ascii="ＭＳ ゴシック" w:hAnsi="ＭＳ ゴシック" w:eastAsia="ＭＳ ゴシック"/>
                                <w:sz w:val="20"/>
                              </w:rPr>
                              <w:t>＋本年度末歳計外現金</w:t>
                            </w:r>
                            <w:r>
                              <w:rPr>
                                <w:rFonts w:hint="eastAsia"/>
                              </w:rPr>
                              <w:t>残高</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1.65pt;mso-position-vertical-relative:text;mso-position-horizontal-relative:text;v-text-anchor:top;position:absolute;height:24.45pt;mso-wrap-distance-top:0pt;width:120.95pt;mso-wrap-distance-left:9pt;margin-left:367.85pt;z-index:35;" o:spid="_x0000_s1038" o:allowincell="t" o:allowoverlap="t" filled="f" stroked="f" o:spt="202" type="#_x0000_t202">
                <v:fill/>
                <v:textbox style="layout-flow:horizontal;" inset="2.5399999999999996mm,1.2699999999999998mm,2.5399999999999996mm,1.2699999999999998mm">
                  <w:txbxContent>
                    <w:p>
                      <w:pPr>
                        <w:pStyle w:val="0"/>
                        <w:rPr>
                          <w:rFonts w:hint="default"/>
                        </w:rPr>
                      </w:pPr>
                      <w:r>
                        <w:rPr>
                          <w:rFonts w:hint="eastAsia" w:ascii="ＭＳ ゴシック" w:hAnsi="ＭＳ ゴシック" w:eastAsia="ＭＳ ゴシック"/>
                          <w:sz w:val="20"/>
                        </w:rPr>
                        <w:t>＋本年度末歳計外現金</w:t>
                      </w:r>
                      <w:r>
                        <w:rPr>
                          <w:rFonts w:hint="eastAsia"/>
                        </w:rPr>
                        <w:t>残高</w:t>
                      </w:r>
                    </w:p>
                  </w:txbxContent>
                </v:textbox>
                <v:imagedata o:title=""/>
                <w10:wrap type="none" anchorx="text" anchory="text"/>
              </v:shape>
            </w:pict>
          </mc:Fallback>
        </mc:AlternateContent>
      </w:r>
    </w:p>
    <w:p>
      <w:pPr>
        <w:pStyle w:val="0"/>
        <w:spacing w:line="0" w:lineRule="atLeast"/>
        <w:rPr>
          <w:rFonts w:hint="default" w:ascii="ＭＳ 明朝" w:hAnsi="ＭＳ 明朝"/>
        </w:rPr>
      </w:pPr>
    </w:p>
    <w:p>
      <w:pPr>
        <w:pStyle w:val="0"/>
        <w:spacing w:line="0" w:lineRule="atLeast"/>
        <w:rPr>
          <w:rFonts w:hint="default" w:ascii="ＭＳ 明朝" w:hAnsi="ＭＳ 明朝"/>
        </w:rPr>
      </w:pPr>
    </w:p>
    <w:tbl>
      <w:tblPr>
        <w:tblStyle w:val="11"/>
        <w:tblW w:w="9639" w:type="dxa"/>
        <w:jc w:val="center"/>
        <w:tblInd w:w="0" w:type="dxa"/>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Layout w:type="fixed"/>
        <w:tblCellMar>
          <w:top w:w="113" w:type="dxa"/>
          <w:bottom w:w="113" w:type="dxa"/>
        </w:tblCellMar>
        <w:tblLook w:firstRow="1" w:lastRow="1" w:firstColumn="1" w:lastColumn="1" w:noHBand="0" w:noVBand="0" w:val="01E0"/>
      </w:tblPr>
      <w:tblGrid>
        <w:gridCol w:w="9639"/>
      </w:tblGrid>
      <w:tr>
        <w:trPr>
          <w:trHeight w:val="353" w:hRule="atLeast"/>
        </w:trPr>
        <w:tc>
          <w:tcPr>
            <w:tcW w:w="9639" w:type="dxa"/>
            <w:shd w:val="thinHorzStripe" w:color="FFFFF0" w:fill="auto"/>
            <w:vAlign w:val="top"/>
          </w:tcPr>
          <w:p>
            <w:pPr>
              <w:pStyle w:val="0"/>
              <w:spacing w:line="0" w:lineRule="atLeast"/>
              <w:ind w:left="264" w:hanging="264" w:hangingChars="110"/>
              <w:rPr>
                <w:rFonts w:hint="default" w:ascii="ＭＳ ゴシック" w:hAnsi="ＭＳ ゴシック" w:eastAsia="ＭＳ ゴシック"/>
                <w:sz w:val="24"/>
              </w:rPr>
            </w:pPr>
            <w:r>
              <w:rPr>
                <w:rFonts w:hint="eastAsia" w:ascii="ＭＳ ゴシック" w:hAnsi="ＭＳ ゴシック" w:eastAsia="ＭＳ ゴシック"/>
                <w:sz w:val="24"/>
              </w:rPr>
              <w:t>○貸借対照表の資産のうち「現金預金」の金額は、資金収支計算書の本年度末残高に本年度末歳計外現金残高を足したものと対応します。</w:t>
            </w:r>
            <w:r>
              <w:rPr>
                <w:rFonts w:hint="eastAsia" w:ascii="ＭＳ ゴシック" w:hAnsi="ＭＳ ゴシック" w:eastAsia="ＭＳ ゴシック"/>
                <w:sz w:val="24"/>
              </w:rPr>
              <w:t xml:space="preserve"> </w:t>
            </w:r>
          </w:p>
          <w:p>
            <w:pPr>
              <w:pStyle w:val="0"/>
              <w:spacing w:line="0" w:lineRule="atLeast"/>
              <w:ind w:left="264" w:hanging="264" w:hangingChars="110"/>
              <w:rPr>
                <w:rFonts w:hint="default" w:ascii="ＭＳ ゴシック" w:hAnsi="ＭＳ ゴシック" w:eastAsia="ＭＳ ゴシック"/>
                <w:sz w:val="24"/>
              </w:rPr>
            </w:pPr>
            <w:r>
              <w:rPr>
                <w:rFonts w:hint="eastAsia" w:ascii="ＭＳ ゴシック" w:hAnsi="ＭＳ ゴシック" w:eastAsia="ＭＳ ゴシック"/>
                <w:sz w:val="24"/>
              </w:rPr>
              <w:t>○貸借対照表の「純資産」の金額は、資産と負債の差額として計算されますが、これは純資産変動計算書の期末残高と対応します。</w:t>
            </w:r>
            <w:r>
              <w:rPr>
                <w:rFonts w:hint="eastAsia" w:ascii="ＭＳ ゴシック" w:hAnsi="ＭＳ ゴシック" w:eastAsia="ＭＳ ゴシック"/>
                <w:sz w:val="24"/>
              </w:rPr>
              <w:t xml:space="preserve"> </w:t>
            </w:r>
          </w:p>
          <w:p>
            <w:pPr>
              <w:pStyle w:val="0"/>
              <w:spacing w:line="0" w:lineRule="atLeast"/>
              <w:rPr>
                <w:rFonts w:hint="default" w:ascii="ＭＳ 明朝" w:hAnsi="ＭＳ 明朝"/>
                <w:sz w:val="24"/>
              </w:rPr>
            </w:pPr>
            <w:r>
              <w:rPr>
                <w:rFonts w:hint="eastAsia" w:ascii="ＭＳ ゴシック" w:hAnsi="ＭＳ ゴシック" w:eastAsia="ＭＳ ゴシック"/>
                <w:sz w:val="24"/>
              </w:rPr>
              <w:t>○行政コスト計算書の「純行政コスト」の金額は、純資産変動計算書に記載されます。</w:t>
            </w:r>
          </w:p>
        </w:tc>
      </w:tr>
    </w:tbl>
    <w:p>
      <w:pPr>
        <w:pStyle w:val="0"/>
        <w:spacing w:line="0" w:lineRule="atLeast"/>
        <w:rPr>
          <w:rFonts w:hint="default" w:ascii="ＭＳ 明朝" w:hAnsi="ＭＳ 明朝"/>
        </w:rPr>
      </w:pPr>
    </w:p>
    <w:p>
      <w:pPr>
        <w:pStyle w:val="0"/>
        <w:rPr>
          <w:rFonts w:hint="default" w:ascii="メイリオ" w:hAnsi="メイリオ" w:eastAsia="メイリオ"/>
          <w:b w:val="1"/>
          <w:color w:val="0070C0"/>
          <w:kern w:val="0"/>
          <w:sz w:val="32"/>
        </w:rPr>
      </w:pPr>
      <w:r>
        <w:rPr>
          <w:rFonts w:hint="default" w:ascii="メイリオ" w:hAnsi="メイリオ" w:eastAsia="メイリオ"/>
          <w:kern w:val="0"/>
          <w:sz w:val="28"/>
        </w:rPr>
        <w:br w:type="page"/>
      </w:r>
      <w:r>
        <w:rPr>
          <w:rFonts w:hint="eastAsia" w:ascii="メイリオ" w:hAnsi="メイリオ" w:eastAsia="メイリオ"/>
          <w:b w:val="1"/>
          <w:color w:val="0070C0"/>
          <w:kern w:val="0"/>
          <w:sz w:val="32"/>
        </w:rPr>
        <w:t>２．令和元年度　占冠村財務書類　実数分析</w:t>
      </w:r>
    </w:p>
    <w:p>
      <w:pPr>
        <w:pStyle w:val="0"/>
        <w:rPr>
          <w:rFonts w:hint="default" w:ascii="メイリオ" w:hAnsi="メイリオ" w:eastAsia="メイリオ"/>
          <w:kern w:val="0"/>
          <w:sz w:val="28"/>
        </w:rPr>
      </w:pPr>
      <w:r>
        <w:rPr>
          <w:rFonts w:hint="eastAsia" w:ascii="メイリオ" w:hAnsi="メイリオ" w:eastAsia="メイリオ"/>
          <w:color w:val="ED7D31" w:themeColor="accent2"/>
          <w:kern w:val="0"/>
          <w:sz w:val="28"/>
        </w:rPr>
        <w:t>（１）</w:t>
      </w:r>
      <w:r>
        <w:rPr>
          <w:rFonts w:hint="eastAsia" w:ascii="メイリオ" w:hAnsi="メイリオ" w:eastAsia="メイリオ"/>
          <w:kern w:val="0"/>
          <w:sz w:val="28"/>
        </w:rPr>
        <w:t>貸借対照表</w:t>
      </w: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貸借対照表とは、基準日時点における財政状態（資産・負債・純資産の残高および内訳）を表示したものです。</w:t>
      </w:r>
    </w:p>
    <w:p>
      <w:pPr>
        <w:pStyle w:val="0"/>
        <w:ind w:firstLine="220" w:firstLineChars="100"/>
        <w:rPr>
          <w:rFonts w:hint="default" w:ascii="ＭＳ ゴシック" w:hAnsi="ＭＳ ゴシック" w:eastAsia="ＭＳ ゴシック"/>
          <w:sz w:val="22"/>
        </w:rPr>
      </w:pPr>
    </w:p>
    <w:p>
      <w:pPr>
        <w:pStyle w:val="0"/>
        <w:spacing w:line="0" w:lineRule="atLeast"/>
        <w:rPr>
          <w:rFonts w:hint="default" w:asciiTheme="majorEastAsia" w:hAnsiTheme="majorEastAsia" w:eastAsiaTheme="majorEastAsia"/>
          <w:kern w:val="0"/>
          <w:sz w:val="24"/>
        </w:rPr>
      </w:pPr>
      <w:r>
        <w:rPr>
          <w:rFonts w:hint="eastAsia" w:ascii="HGP創英角ｺﾞｼｯｸUB" w:hAnsi="HGP創英角ｺﾞｼｯｸUB" w:eastAsia="HGP創英角ｺﾞｼｯｸUB"/>
          <w:color w:val="003399"/>
          <w:kern w:val="0"/>
          <w:sz w:val="24"/>
        </w:rPr>
        <w:t>■貸借対照表（Ｂ／Ｓ）の概略図</w:t>
      </w:r>
    </w:p>
    <w:p>
      <w:pPr>
        <w:pStyle w:val="0"/>
        <w:ind w:right="960"/>
        <w:rPr>
          <w:rFonts w:hint="default" w:asciiTheme="majorEastAsia" w:hAnsiTheme="majorEastAsia" w:eastAsiaTheme="majorEastAsia"/>
          <w:kern w:val="0"/>
          <w:sz w:val="24"/>
        </w:rPr>
      </w:pPr>
    </w:p>
    <w:tbl>
      <w:tblPr>
        <w:tblStyle w:val="31"/>
        <w:tblW w:w="9742" w:type="dxa"/>
        <w:tblInd w:w="0" w:type="dxa"/>
        <w:tblLayout w:type="fixed"/>
        <w:tblLook w:firstRow="1" w:lastRow="0" w:firstColumn="1" w:lastColumn="0" w:noHBand="0" w:noVBand="1" w:val="04A0"/>
      </w:tblPr>
      <w:tblGrid>
        <w:gridCol w:w="583"/>
        <w:gridCol w:w="4294"/>
        <w:gridCol w:w="647"/>
        <w:gridCol w:w="4218"/>
      </w:tblGrid>
      <w:tr>
        <w:trPr/>
        <w:tc>
          <w:tcPr>
            <w:tcW w:w="4877" w:type="dxa"/>
            <w:gridSpan w:val="2"/>
            <w:vAlign w:val="top"/>
          </w:tcPr>
          <w:p>
            <w:pPr>
              <w:pStyle w:val="0"/>
              <w:jc w:val="center"/>
              <w:rPr>
                <w:rFonts w:hint="default" w:asciiTheme="majorEastAsia" w:hAnsiTheme="majorEastAsia" w:eastAsiaTheme="majorEastAsia"/>
                <w:kern w:val="0"/>
                <w:sz w:val="24"/>
              </w:rPr>
            </w:pPr>
            <w:r>
              <w:rPr>
                <w:rFonts w:hint="eastAsia" w:asciiTheme="majorEastAsia" w:hAnsiTheme="majorEastAsia" w:eastAsiaTheme="majorEastAsia"/>
                <w:kern w:val="0"/>
                <w:sz w:val="24"/>
              </w:rPr>
              <w:t>資産の部（これまで形成した資産）</w:t>
            </w:r>
          </w:p>
        </w:tc>
        <w:tc>
          <w:tcPr>
            <w:tcW w:w="4865" w:type="dxa"/>
            <w:gridSpan w:val="2"/>
            <w:vAlign w:val="top"/>
          </w:tcPr>
          <w:p>
            <w:pPr>
              <w:pStyle w:val="0"/>
              <w:ind w:right="-134" w:rightChars="-64"/>
              <w:jc w:val="center"/>
              <w:rPr>
                <w:rFonts w:hint="default" w:asciiTheme="majorEastAsia" w:hAnsiTheme="majorEastAsia" w:eastAsiaTheme="majorEastAsia"/>
                <w:kern w:val="0"/>
                <w:sz w:val="24"/>
              </w:rPr>
            </w:pPr>
            <w:r>
              <w:rPr>
                <w:rFonts w:hint="eastAsia" w:asciiTheme="majorEastAsia" w:hAnsiTheme="majorEastAsia" w:eastAsiaTheme="majorEastAsia"/>
                <w:kern w:val="0"/>
                <w:sz w:val="24"/>
              </w:rPr>
              <w:t>負債の部（将来世代が負担する金額）</w:t>
            </w:r>
          </w:p>
        </w:tc>
      </w:tr>
      <w:tr>
        <w:trPr/>
        <w:tc>
          <w:tcPr>
            <w:tcW w:w="583" w:type="dxa"/>
            <w:vMerge w:val="restart"/>
            <w:shd w:val="clear" w:color="auto" w:themeFill="accent4" w:themeFillTint="66" w:themeFillShade="FF"/>
            <w:textDirection w:val="tbRlV"/>
            <w:vAlign w:val="top"/>
          </w:tcPr>
          <w:p>
            <w:pPr>
              <w:pStyle w:val="0"/>
              <w:ind w:left="113" w:right="-85"/>
              <w:jc w:val="center"/>
              <w:rPr>
                <w:rFonts w:hint="default" w:asciiTheme="majorEastAsia" w:hAnsiTheme="majorEastAsia" w:eastAsiaTheme="majorEastAsia"/>
                <w:kern w:val="0"/>
                <w:sz w:val="24"/>
              </w:rPr>
            </w:pPr>
            <w:r>
              <w:rPr>
                <w:rFonts w:hint="eastAsia" w:asciiTheme="majorEastAsia" w:hAnsiTheme="majorEastAsia" w:eastAsiaTheme="majorEastAsia"/>
                <w:kern w:val="0"/>
                <w:sz w:val="24"/>
              </w:rPr>
              <w:t>固定資産</w:t>
            </w:r>
          </w:p>
        </w:tc>
        <w:tc>
          <w:tcPr>
            <w:tcW w:w="4294" w:type="dxa"/>
            <w:shd w:val="clear" w:color="auto" w:themeFill="accent4" w:themeFillTint="33" w:themeFillShade="FF"/>
            <w:vAlign w:val="top"/>
          </w:tcPr>
          <w:p>
            <w:pPr>
              <w:pStyle w:val="0"/>
              <w:ind w:right="-50"/>
              <w:rPr>
                <w:rFonts w:hint="default" w:asciiTheme="majorEastAsia" w:hAnsiTheme="majorEastAsia" w:eastAsiaTheme="majorEastAsia"/>
                <w:kern w:val="0"/>
                <w:sz w:val="24"/>
              </w:rPr>
            </w:pPr>
            <w:r>
              <w:rPr>
                <w:rFonts w:hint="eastAsia" w:asciiTheme="majorEastAsia" w:hAnsiTheme="majorEastAsia" w:eastAsiaTheme="majorEastAsia"/>
                <w:kern w:val="0"/>
                <w:sz w:val="24"/>
              </w:rPr>
              <w:t xml:space="preserve">(1) </w:t>
            </w:r>
            <w:r>
              <w:rPr>
                <w:rFonts w:hint="eastAsia" w:asciiTheme="majorEastAsia" w:hAnsiTheme="majorEastAsia" w:eastAsiaTheme="majorEastAsia"/>
                <w:kern w:val="0"/>
                <w:sz w:val="24"/>
              </w:rPr>
              <w:t>事業用資産</w:t>
            </w:r>
          </w:p>
          <w:p>
            <w:pPr>
              <w:pStyle w:val="0"/>
              <w:ind w:left="210" w:leftChars="100"/>
              <w:rPr>
                <w:rFonts w:hint="default" w:asciiTheme="minorEastAsia" w:hAnsiTheme="minorEastAsia"/>
                <w:kern w:val="0"/>
                <w:sz w:val="24"/>
              </w:rPr>
            </w:pPr>
            <w:r>
              <w:rPr>
                <w:rFonts w:hint="eastAsia" w:asciiTheme="minorEastAsia" w:hAnsiTheme="minorEastAsia"/>
                <w:kern w:val="0"/>
              </w:rPr>
              <w:t>庁舎、学校、保育所、体育館、公営住宅、地区集会所など</w:t>
            </w:r>
          </w:p>
        </w:tc>
        <w:tc>
          <w:tcPr>
            <w:tcW w:w="647" w:type="dxa"/>
            <w:vMerge w:val="restart"/>
            <w:shd w:val="clear" w:color="auto" w:themeFill="accent1" w:themeFillTint="66" w:themeFillShade="FF"/>
            <w:textDirection w:val="tbRlV"/>
            <w:vAlign w:val="top"/>
          </w:tcPr>
          <w:p>
            <w:pPr>
              <w:pStyle w:val="0"/>
              <w:ind w:left="113" w:right="-30"/>
              <w:jc w:val="center"/>
              <w:rPr>
                <w:rFonts w:hint="default" w:asciiTheme="majorEastAsia" w:hAnsiTheme="majorEastAsia" w:eastAsiaTheme="majorEastAsia"/>
                <w:kern w:val="0"/>
                <w:sz w:val="24"/>
              </w:rPr>
            </w:pPr>
            <w:r>
              <w:rPr>
                <w:rFonts w:hint="eastAsia" w:asciiTheme="majorEastAsia" w:hAnsiTheme="majorEastAsia" w:eastAsiaTheme="majorEastAsia"/>
                <w:kern w:val="0"/>
                <w:sz w:val="24"/>
              </w:rPr>
              <w:t>固定負債</w:t>
            </w:r>
          </w:p>
        </w:tc>
        <w:tc>
          <w:tcPr>
            <w:tcW w:w="4218" w:type="dxa"/>
            <w:shd w:val="clear" w:color="auto" w:themeFill="accent1" w:themeFillTint="33" w:themeFillShade="FF"/>
            <w:vAlign w:val="top"/>
          </w:tcPr>
          <w:p>
            <w:pPr>
              <w:pStyle w:val="0"/>
              <w:ind w:right="960"/>
              <w:rPr>
                <w:rFonts w:hint="default" w:asciiTheme="majorEastAsia" w:hAnsiTheme="majorEastAsia" w:eastAsiaTheme="majorEastAsia"/>
                <w:kern w:val="0"/>
                <w:sz w:val="24"/>
              </w:rPr>
            </w:pPr>
            <w:r>
              <w:rPr>
                <w:rFonts w:hint="eastAsia" w:asciiTheme="majorEastAsia" w:hAnsiTheme="majorEastAsia" w:eastAsiaTheme="majorEastAsia"/>
                <w:kern w:val="0"/>
                <w:sz w:val="24"/>
              </w:rPr>
              <w:t xml:space="preserve">(1) </w:t>
            </w:r>
            <w:r>
              <w:rPr>
                <w:rFonts w:hint="eastAsia" w:asciiTheme="majorEastAsia" w:hAnsiTheme="majorEastAsia" w:eastAsiaTheme="majorEastAsia"/>
                <w:kern w:val="0"/>
                <w:sz w:val="24"/>
              </w:rPr>
              <w:t>地方債</w:t>
            </w:r>
          </w:p>
          <w:p>
            <w:pPr>
              <w:pStyle w:val="0"/>
              <w:ind w:firstLine="210" w:firstLineChars="100"/>
              <w:rPr>
                <w:rFonts w:hint="default" w:asciiTheme="minorEastAsia" w:hAnsiTheme="minorEastAsia"/>
                <w:kern w:val="0"/>
                <w:sz w:val="24"/>
              </w:rPr>
            </w:pPr>
            <w:r>
              <w:rPr>
                <w:rFonts w:hint="eastAsia" w:asciiTheme="minorEastAsia" w:hAnsiTheme="minorEastAsia"/>
                <w:kern w:val="0"/>
              </w:rPr>
              <w:t>国や金融機関からの借入金</w:t>
            </w:r>
          </w:p>
        </w:tc>
      </w:tr>
      <w:tr>
        <w:trPr/>
        <w:tc>
          <w:tcPr>
            <w:tcW w:w="583" w:type="dxa"/>
            <w:vMerge w:val="continue"/>
            <w:shd w:val="clear" w:color="auto" w:themeFill="accent4" w:themeFillTint="66" w:themeFillShade="FF"/>
            <w:vAlign w:val="top"/>
          </w:tcPr>
          <w:p>
            <w:pPr>
              <w:pStyle w:val="0"/>
              <w:ind w:right="960"/>
              <w:rPr>
                <w:rFonts w:hint="default" w:asciiTheme="majorEastAsia" w:hAnsiTheme="majorEastAsia" w:eastAsiaTheme="majorEastAsia"/>
                <w:kern w:val="0"/>
                <w:sz w:val="24"/>
              </w:rPr>
            </w:pPr>
          </w:p>
        </w:tc>
        <w:tc>
          <w:tcPr>
            <w:tcW w:w="4294" w:type="dxa"/>
            <w:shd w:val="clear" w:color="auto" w:themeFill="accent4" w:themeFillTint="33" w:themeFillShade="FF"/>
            <w:vAlign w:val="top"/>
          </w:tcPr>
          <w:p>
            <w:pPr>
              <w:pStyle w:val="0"/>
              <w:ind w:right="-50"/>
              <w:rPr>
                <w:rFonts w:hint="default" w:asciiTheme="majorEastAsia" w:hAnsiTheme="majorEastAsia" w:eastAsiaTheme="majorEastAsia"/>
                <w:kern w:val="0"/>
                <w:sz w:val="24"/>
              </w:rPr>
            </w:pPr>
            <w:r>
              <w:rPr>
                <w:rFonts w:hint="eastAsia" w:asciiTheme="majorEastAsia" w:hAnsiTheme="majorEastAsia" w:eastAsiaTheme="majorEastAsia"/>
                <w:kern w:val="0"/>
                <w:sz w:val="24"/>
              </w:rPr>
              <w:t xml:space="preserve">(2) </w:t>
            </w:r>
            <w:r>
              <w:rPr>
                <w:rFonts w:hint="eastAsia" w:asciiTheme="majorEastAsia" w:hAnsiTheme="majorEastAsia" w:eastAsiaTheme="majorEastAsia"/>
                <w:kern w:val="0"/>
                <w:sz w:val="24"/>
              </w:rPr>
              <w:t>インフラ資産</w:t>
            </w:r>
          </w:p>
          <w:p>
            <w:pPr>
              <w:pStyle w:val="0"/>
              <w:ind w:firstLine="210" w:firstLineChars="100"/>
              <w:rPr>
                <w:rFonts w:hint="default" w:asciiTheme="minorEastAsia" w:hAnsiTheme="minorEastAsia"/>
                <w:kern w:val="0"/>
                <w:sz w:val="24"/>
              </w:rPr>
            </w:pPr>
            <w:r>
              <w:rPr>
                <w:rFonts w:hint="eastAsia" w:asciiTheme="minorEastAsia" w:hAnsiTheme="minorEastAsia"/>
                <w:kern w:val="0"/>
              </w:rPr>
              <w:t>道路、公園、橋梁、上下水道など</w:t>
            </w:r>
          </w:p>
        </w:tc>
        <w:tc>
          <w:tcPr>
            <w:tcW w:w="647" w:type="dxa"/>
            <w:vMerge w:val="continue"/>
            <w:shd w:val="clear" w:color="auto" w:themeFill="accent1" w:themeFillTint="66" w:themeFillShade="FF"/>
            <w:vAlign w:val="top"/>
          </w:tcPr>
          <w:p>
            <w:pPr>
              <w:pStyle w:val="0"/>
              <w:ind w:right="960"/>
              <w:jc w:val="center"/>
              <w:rPr>
                <w:rFonts w:hint="default" w:asciiTheme="majorEastAsia" w:hAnsiTheme="majorEastAsia" w:eastAsiaTheme="majorEastAsia"/>
                <w:kern w:val="0"/>
                <w:sz w:val="24"/>
              </w:rPr>
            </w:pPr>
          </w:p>
        </w:tc>
        <w:tc>
          <w:tcPr>
            <w:tcW w:w="4218" w:type="dxa"/>
            <w:shd w:val="clear" w:color="auto" w:themeFill="accent1" w:themeFillTint="33" w:themeFillShade="FF"/>
            <w:vAlign w:val="top"/>
          </w:tcPr>
          <w:p>
            <w:pPr>
              <w:pStyle w:val="0"/>
              <w:ind w:right="960"/>
              <w:rPr>
                <w:rFonts w:hint="default" w:asciiTheme="minorEastAsia" w:hAnsiTheme="minorEastAsia"/>
                <w:kern w:val="0"/>
                <w:sz w:val="24"/>
              </w:rPr>
            </w:pPr>
            <w:r>
              <w:rPr>
                <w:rFonts w:hint="eastAsia" w:asciiTheme="majorEastAsia" w:hAnsiTheme="majorEastAsia" w:eastAsiaTheme="majorEastAsia"/>
                <w:kern w:val="0"/>
                <w:sz w:val="24"/>
              </w:rPr>
              <w:t xml:space="preserve">(2) </w:t>
            </w:r>
            <w:r>
              <w:rPr>
                <w:rFonts w:hint="eastAsia" w:asciiTheme="majorEastAsia" w:hAnsiTheme="majorEastAsia" w:eastAsiaTheme="majorEastAsia"/>
                <w:kern w:val="0"/>
                <w:sz w:val="24"/>
              </w:rPr>
              <w:t>退職手当引当金</w:t>
            </w:r>
          </w:p>
          <w:p>
            <w:pPr>
              <w:pStyle w:val="0"/>
              <w:ind w:right="7" w:firstLine="210" w:firstLineChars="100"/>
              <w:rPr>
                <w:rFonts w:hint="default" w:asciiTheme="majorEastAsia" w:hAnsiTheme="majorEastAsia" w:eastAsiaTheme="majorEastAsia"/>
                <w:kern w:val="0"/>
                <w:sz w:val="24"/>
              </w:rPr>
            </w:pPr>
            <w:r>
              <w:rPr>
                <w:rFonts w:hint="eastAsia" w:asciiTheme="minorEastAsia" w:hAnsiTheme="minorEastAsia"/>
                <w:kern w:val="0"/>
              </w:rPr>
              <w:t>将来見込まれる退職金額</w:t>
            </w:r>
          </w:p>
        </w:tc>
      </w:tr>
      <w:tr>
        <w:trPr/>
        <w:tc>
          <w:tcPr>
            <w:tcW w:w="583" w:type="dxa"/>
            <w:vMerge w:val="continue"/>
            <w:shd w:val="clear" w:color="auto" w:themeFill="accent4" w:themeFillTint="66" w:themeFillShade="FF"/>
            <w:vAlign w:val="top"/>
          </w:tcPr>
          <w:p>
            <w:pPr>
              <w:pStyle w:val="0"/>
              <w:ind w:right="960"/>
              <w:rPr>
                <w:rFonts w:hint="default" w:asciiTheme="majorEastAsia" w:hAnsiTheme="majorEastAsia" w:eastAsiaTheme="majorEastAsia"/>
                <w:kern w:val="0"/>
                <w:sz w:val="24"/>
              </w:rPr>
            </w:pPr>
          </w:p>
        </w:tc>
        <w:tc>
          <w:tcPr>
            <w:tcW w:w="4294" w:type="dxa"/>
            <w:shd w:val="clear" w:color="auto" w:themeFill="accent4" w:themeFillTint="33" w:themeFillShade="FF"/>
            <w:vAlign w:val="top"/>
          </w:tcPr>
          <w:p>
            <w:pPr>
              <w:pStyle w:val="0"/>
              <w:ind w:right="960"/>
              <w:rPr>
                <w:rFonts w:hint="default" w:asciiTheme="majorEastAsia" w:hAnsiTheme="majorEastAsia" w:eastAsiaTheme="majorEastAsia"/>
                <w:kern w:val="0"/>
                <w:sz w:val="24"/>
              </w:rPr>
            </w:pPr>
            <w:r>
              <w:rPr>
                <w:rFonts w:hint="eastAsia" w:asciiTheme="majorEastAsia" w:hAnsiTheme="majorEastAsia" w:eastAsiaTheme="majorEastAsia"/>
                <w:kern w:val="0"/>
                <w:sz w:val="24"/>
              </w:rPr>
              <w:t>(3)</w:t>
            </w:r>
            <w:r>
              <w:rPr>
                <w:rFonts w:hint="eastAsia" w:asciiTheme="majorEastAsia" w:hAnsiTheme="majorEastAsia" w:eastAsiaTheme="majorEastAsia"/>
                <w:kern w:val="0"/>
                <w:sz w:val="24"/>
              </w:rPr>
              <w:t>物品</w:t>
            </w:r>
          </w:p>
          <w:p>
            <w:pPr>
              <w:pStyle w:val="0"/>
              <w:ind w:right="960" w:firstLine="210" w:firstLineChars="100"/>
              <w:rPr>
                <w:rFonts w:hint="default" w:ascii="ＭＳ 明朝" w:hAnsi="ＭＳ 明朝" w:eastAsia="ＭＳ 明朝"/>
                <w:kern w:val="0"/>
                <w:sz w:val="24"/>
              </w:rPr>
            </w:pPr>
            <w:r>
              <w:rPr>
                <w:rFonts w:hint="eastAsia" w:ascii="ＭＳ 明朝" w:hAnsi="ＭＳ 明朝" w:eastAsia="ＭＳ 明朝"/>
                <w:kern w:val="0"/>
              </w:rPr>
              <w:t>車両など</w:t>
            </w:r>
          </w:p>
        </w:tc>
        <w:tc>
          <w:tcPr>
            <w:tcW w:w="647" w:type="dxa"/>
            <w:vMerge w:val="continue"/>
            <w:shd w:val="clear" w:color="auto" w:themeFill="accent1" w:themeFillTint="66" w:themeFillShade="FF"/>
            <w:vAlign w:val="top"/>
          </w:tcPr>
          <w:p>
            <w:pPr>
              <w:pStyle w:val="0"/>
              <w:ind w:right="960"/>
              <w:jc w:val="center"/>
              <w:rPr>
                <w:rFonts w:hint="default" w:asciiTheme="majorEastAsia" w:hAnsiTheme="majorEastAsia" w:eastAsiaTheme="majorEastAsia"/>
                <w:kern w:val="0"/>
                <w:sz w:val="24"/>
              </w:rPr>
            </w:pPr>
          </w:p>
        </w:tc>
        <w:tc>
          <w:tcPr>
            <w:tcW w:w="4218" w:type="dxa"/>
            <w:shd w:val="clear" w:color="auto" w:themeFill="accent1" w:themeFillTint="33" w:themeFillShade="FF"/>
            <w:vAlign w:val="top"/>
          </w:tcPr>
          <w:p>
            <w:pPr>
              <w:pStyle w:val="0"/>
              <w:ind w:right="960"/>
              <w:rPr>
                <w:rFonts w:hint="default" w:asciiTheme="majorEastAsia" w:hAnsiTheme="majorEastAsia" w:eastAsiaTheme="majorEastAsia"/>
                <w:kern w:val="0"/>
                <w:sz w:val="24"/>
              </w:rPr>
            </w:pPr>
            <w:r>
              <w:rPr>
                <w:rFonts w:hint="eastAsia" w:asciiTheme="majorEastAsia" w:hAnsiTheme="majorEastAsia" w:eastAsiaTheme="majorEastAsia"/>
                <w:kern w:val="0"/>
                <w:sz w:val="24"/>
              </w:rPr>
              <w:t xml:space="preserve">(3) </w:t>
            </w:r>
            <w:r>
              <w:rPr>
                <w:rFonts w:hint="eastAsia" w:asciiTheme="majorEastAsia" w:hAnsiTheme="majorEastAsia" w:eastAsiaTheme="majorEastAsia"/>
                <w:kern w:val="0"/>
                <w:sz w:val="24"/>
              </w:rPr>
              <w:t>その他の固定負債</w:t>
            </w:r>
          </w:p>
          <w:p>
            <w:pPr>
              <w:pStyle w:val="0"/>
              <w:ind w:right="-135" w:firstLine="210" w:firstLineChars="100"/>
              <w:rPr>
                <w:rFonts w:hint="default" w:asciiTheme="minorEastAsia" w:hAnsiTheme="minorEastAsia"/>
                <w:kern w:val="0"/>
                <w:sz w:val="24"/>
              </w:rPr>
            </w:pPr>
            <w:r>
              <w:rPr>
                <w:rFonts w:hint="eastAsia" w:asciiTheme="minorEastAsia" w:hAnsiTheme="minorEastAsia"/>
                <w:kern w:val="0"/>
              </w:rPr>
              <w:t>長期未払金、損失補償等引当金など</w:t>
            </w:r>
          </w:p>
        </w:tc>
      </w:tr>
      <w:tr>
        <w:trPr/>
        <w:tc>
          <w:tcPr>
            <w:tcW w:w="583" w:type="dxa"/>
            <w:vMerge w:val="continue"/>
            <w:shd w:val="clear" w:color="auto" w:themeFill="accent4" w:themeFillTint="66" w:themeFillShade="FF"/>
            <w:vAlign w:val="top"/>
          </w:tcPr>
          <w:p>
            <w:pPr>
              <w:pStyle w:val="0"/>
              <w:ind w:right="960"/>
              <w:rPr>
                <w:rFonts w:hint="default" w:asciiTheme="majorEastAsia" w:hAnsiTheme="majorEastAsia" w:eastAsiaTheme="majorEastAsia"/>
                <w:kern w:val="0"/>
                <w:sz w:val="24"/>
              </w:rPr>
            </w:pPr>
          </w:p>
        </w:tc>
        <w:tc>
          <w:tcPr>
            <w:tcW w:w="4294" w:type="dxa"/>
            <w:shd w:val="clear" w:color="auto" w:themeFill="accent4" w:themeFillTint="33" w:themeFillShade="FF"/>
            <w:vAlign w:val="top"/>
          </w:tcPr>
          <w:p>
            <w:pPr>
              <w:pStyle w:val="0"/>
              <w:ind w:right="960"/>
              <w:rPr>
                <w:rFonts w:hint="default" w:asciiTheme="majorEastAsia" w:hAnsiTheme="majorEastAsia" w:eastAsiaTheme="majorEastAsia"/>
                <w:kern w:val="0"/>
                <w:sz w:val="24"/>
              </w:rPr>
            </w:pPr>
            <w:r>
              <w:rPr>
                <w:rFonts w:hint="eastAsia" w:asciiTheme="majorEastAsia" w:hAnsiTheme="majorEastAsia" w:eastAsiaTheme="majorEastAsia"/>
                <w:kern w:val="0"/>
                <w:sz w:val="24"/>
              </w:rPr>
              <w:t>(4)</w:t>
            </w:r>
            <w:r>
              <w:rPr>
                <w:rFonts w:hint="eastAsia" w:asciiTheme="majorEastAsia" w:hAnsiTheme="majorEastAsia" w:eastAsiaTheme="majorEastAsia"/>
                <w:kern w:val="0"/>
                <w:sz w:val="24"/>
              </w:rPr>
              <w:t>投資その他の資産</w:t>
            </w:r>
          </w:p>
          <w:p>
            <w:pPr>
              <w:pStyle w:val="0"/>
              <w:ind w:right="960" w:firstLine="210" w:firstLineChars="100"/>
              <w:rPr>
                <w:rFonts w:hint="default" w:ascii="ＭＳ 明朝" w:hAnsi="ＭＳ 明朝" w:eastAsia="ＭＳ 明朝"/>
                <w:kern w:val="0"/>
                <w:sz w:val="24"/>
              </w:rPr>
            </w:pPr>
            <w:r>
              <w:rPr>
                <w:rFonts w:hint="eastAsia" w:ascii="ＭＳ 明朝" w:hAnsi="ＭＳ 明朝" w:eastAsia="ＭＳ 明朝"/>
                <w:kern w:val="0"/>
              </w:rPr>
              <w:t>基金、有価証券、出資金など</w:t>
            </w:r>
          </w:p>
        </w:tc>
        <w:tc>
          <w:tcPr>
            <w:tcW w:w="647" w:type="dxa"/>
            <w:vMerge w:val="restart"/>
            <w:shd w:val="clear" w:color="auto" w:themeFill="accent1" w:themeFillTint="66" w:themeFillShade="FF"/>
            <w:textDirection w:val="tbRlV"/>
            <w:vAlign w:val="top"/>
          </w:tcPr>
          <w:p>
            <w:pPr>
              <w:pStyle w:val="0"/>
              <w:ind w:left="113" w:right="-30"/>
              <w:jc w:val="center"/>
              <w:rPr>
                <w:rFonts w:hint="default" w:asciiTheme="majorEastAsia" w:hAnsiTheme="majorEastAsia" w:eastAsiaTheme="majorEastAsia"/>
                <w:kern w:val="0"/>
                <w:sz w:val="24"/>
              </w:rPr>
            </w:pPr>
            <w:r>
              <w:rPr>
                <w:rFonts w:hint="eastAsia" w:asciiTheme="majorEastAsia" w:hAnsiTheme="majorEastAsia" w:eastAsiaTheme="majorEastAsia"/>
                <w:kern w:val="0"/>
                <w:sz w:val="24"/>
              </w:rPr>
              <w:t>流動負債</w:t>
            </w:r>
          </w:p>
        </w:tc>
        <w:tc>
          <w:tcPr>
            <w:tcW w:w="4218" w:type="dxa"/>
            <w:shd w:val="clear" w:color="auto" w:themeFill="accent1" w:themeFillTint="33" w:themeFillShade="FF"/>
            <w:vAlign w:val="top"/>
          </w:tcPr>
          <w:p>
            <w:pPr>
              <w:pStyle w:val="0"/>
              <w:ind w:right="960"/>
              <w:rPr>
                <w:rFonts w:hint="default" w:asciiTheme="majorEastAsia" w:hAnsiTheme="majorEastAsia" w:eastAsiaTheme="majorEastAsia"/>
                <w:kern w:val="0"/>
                <w:sz w:val="24"/>
              </w:rPr>
            </w:pPr>
            <w:r>
              <w:rPr>
                <w:rFonts w:hint="eastAsia" w:asciiTheme="majorEastAsia" w:hAnsiTheme="majorEastAsia" w:eastAsiaTheme="majorEastAsia"/>
                <w:kern w:val="0"/>
                <w:sz w:val="24"/>
              </w:rPr>
              <w:t xml:space="preserve">(1) </w:t>
            </w:r>
            <w:r>
              <w:rPr>
                <w:rFonts w:hint="eastAsia" w:asciiTheme="majorEastAsia" w:hAnsiTheme="majorEastAsia" w:eastAsiaTheme="majorEastAsia"/>
                <w:kern w:val="0"/>
                <w:sz w:val="24"/>
              </w:rPr>
              <w:t>賞与等引当金</w:t>
            </w:r>
          </w:p>
          <w:p>
            <w:pPr>
              <w:pStyle w:val="0"/>
              <w:ind w:firstLine="210" w:firstLineChars="100"/>
              <w:rPr>
                <w:rFonts w:hint="default" w:asciiTheme="minorEastAsia" w:hAnsiTheme="minorEastAsia"/>
                <w:kern w:val="0"/>
                <w:sz w:val="24"/>
              </w:rPr>
            </w:pPr>
            <w:r>
              <w:rPr>
                <w:rFonts w:hint="eastAsia" w:asciiTheme="minorEastAsia" w:hAnsiTheme="minorEastAsia"/>
                <w:kern w:val="0"/>
              </w:rPr>
              <w:t>翌年度夏期賞与の当年度負担額</w:t>
            </w:r>
          </w:p>
        </w:tc>
      </w:tr>
      <w:tr>
        <w:trPr/>
        <w:tc>
          <w:tcPr>
            <w:tcW w:w="583" w:type="dxa"/>
            <w:vMerge w:val="restart"/>
            <w:shd w:val="clear" w:color="auto" w:themeFill="accent4" w:themeFillTint="66" w:themeFillShade="FF"/>
            <w:textDirection w:val="tbRlV"/>
            <w:vAlign w:val="top"/>
          </w:tcPr>
          <w:p>
            <w:pPr>
              <w:pStyle w:val="0"/>
              <w:ind w:left="113" w:right="113"/>
              <w:jc w:val="center"/>
              <w:rPr>
                <w:rFonts w:hint="default" w:asciiTheme="majorEastAsia" w:hAnsiTheme="majorEastAsia" w:eastAsiaTheme="majorEastAsia"/>
                <w:kern w:val="0"/>
                <w:sz w:val="24"/>
              </w:rPr>
            </w:pPr>
            <w:r>
              <w:rPr>
                <w:rFonts w:hint="eastAsia" w:asciiTheme="majorEastAsia" w:hAnsiTheme="majorEastAsia" w:eastAsiaTheme="majorEastAsia"/>
                <w:kern w:val="0"/>
                <w:sz w:val="24"/>
              </w:rPr>
              <w:t>流動資産</w:t>
            </w:r>
          </w:p>
        </w:tc>
        <w:tc>
          <w:tcPr>
            <w:tcW w:w="4294" w:type="dxa"/>
            <w:shd w:val="clear" w:color="auto" w:themeFill="accent4" w:themeFillTint="33" w:themeFillShade="FF"/>
            <w:vAlign w:val="top"/>
          </w:tcPr>
          <w:p>
            <w:pPr>
              <w:pStyle w:val="0"/>
              <w:ind w:right="960"/>
              <w:rPr>
                <w:rFonts w:hint="default" w:asciiTheme="majorEastAsia" w:hAnsiTheme="majorEastAsia" w:eastAsiaTheme="majorEastAsia"/>
                <w:kern w:val="0"/>
                <w:sz w:val="24"/>
              </w:rPr>
            </w:pPr>
            <w:r>
              <w:rPr>
                <w:rFonts w:hint="eastAsia" w:asciiTheme="majorEastAsia" w:hAnsiTheme="majorEastAsia" w:eastAsiaTheme="majorEastAsia"/>
                <w:kern w:val="0"/>
                <w:sz w:val="24"/>
              </w:rPr>
              <w:t xml:space="preserve">(1) </w:t>
            </w:r>
            <w:r>
              <w:rPr>
                <w:rFonts w:hint="eastAsia" w:asciiTheme="majorEastAsia" w:hAnsiTheme="majorEastAsia" w:eastAsiaTheme="majorEastAsia"/>
                <w:kern w:val="0"/>
                <w:sz w:val="24"/>
              </w:rPr>
              <w:t>現金預金</w:t>
            </w:r>
          </w:p>
          <w:p>
            <w:pPr>
              <w:pStyle w:val="0"/>
              <w:ind w:right="960" w:firstLine="210" w:firstLineChars="100"/>
              <w:rPr>
                <w:rFonts w:hint="default" w:asciiTheme="minorEastAsia" w:hAnsiTheme="minorEastAsia"/>
                <w:kern w:val="0"/>
                <w:sz w:val="24"/>
              </w:rPr>
            </w:pPr>
            <w:r>
              <w:rPr>
                <w:rFonts w:hint="eastAsia" w:asciiTheme="minorEastAsia" w:hAnsiTheme="minorEastAsia"/>
                <w:kern w:val="0"/>
              </w:rPr>
              <w:t>現金、預金</w:t>
            </w:r>
          </w:p>
        </w:tc>
        <w:tc>
          <w:tcPr>
            <w:tcW w:w="647" w:type="dxa"/>
            <w:vMerge w:val="continue"/>
            <w:shd w:val="clear" w:color="auto" w:themeFill="accent1" w:themeFillTint="66" w:themeFillShade="FF"/>
            <w:vAlign w:val="top"/>
          </w:tcPr>
          <w:p>
            <w:pPr>
              <w:pStyle w:val="0"/>
              <w:ind w:right="960"/>
              <w:rPr>
                <w:rFonts w:hint="default" w:asciiTheme="majorEastAsia" w:hAnsiTheme="majorEastAsia" w:eastAsiaTheme="majorEastAsia"/>
                <w:kern w:val="0"/>
                <w:sz w:val="24"/>
              </w:rPr>
            </w:pPr>
          </w:p>
        </w:tc>
        <w:tc>
          <w:tcPr>
            <w:tcW w:w="4218" w:type="dxa"/>
            <w:shd w:val="clear" w:color="auto" w:themeFill="accent1" w:themeFillTint="33" w:themeFillShade="FF"/>
            <w:vAlign w:val="top"/>
          </w:tcPr>
          <w:p>
            <w:pPr>
              <w:pStyle w:val="0"/>
              <w:ind w:right="960"/>
              <w:rPr>
                <w:rFonts w:hint="default" w:asciiTheme="majorEastAsia" w:hAnsiTheme="majorEastAsia" w:eastAsiaTheme="majorEastAsia"/>
                <w:kern w:val="0"/>
              </w:rPr>
            </w:pPr>
            <w:r>
              <w:rPr>
                <w:rFonts w:hint="eastAsia" w:asciiTheme="majorEastAsia" w:hAnsiTheme="majorEastAsia" w:eastAsiaTheme="majorEastAsia"/>
                <w:kern w:val="0"/>
                <w:sz w:val="24"/>
              </w:rPr>
              <w:t xml:space="preserve">(2) </w:t>
            </w:r>
            <w:r>
              <w:rPr>
                <w:rFonts w:hint="eastAsia" w:asciiTheme="majorEastAsia" w:hAnsiTheme="majorEastAsia" w:eastAsiaTheme="majorEastAsia"/>
                <w:kern w:val="0"/>
                <w:sz w:val="24"/>
              </w:rPr>
              <w:t>その他の流動負債</w:t>
            </w:r>
          </w:p>
          <w:p>
            <w:pPr>
              <w:pStyle w:val="0"/>
              <w:ind w:right="148" w:firstLine="210" w:firstLineChars="100"/>
              <w:rPr>
                <w:rFonts w:hint="default" w:ascii="ＭＳ 明朝" w:hAnsi="ＭＳ 明朝" w:eastAsia="ＭＳ 明朝"/>
                <w:kern w:val="0"/>
                <w:sz w:val="24"/>
              </w:rPr>
            </w:pPr>
            <w:r>
              <w:rPr>
                <w:rFonts w:hint="eastAsia" w:ascii="ＭＳ 明朝" w:hAnsi="ＭＳ 明朝" w:eastAsia="ＭＳ 明朝"/>
                <w:kern w:val="0"/>
              </w:rPr>
              <w:t>翌年度償還予定の地方債、預り金など</w:t>
            </w:r>
          </w:p>
        </w:tc>
      </w:tr>
      <w:tr>
        <w:trPr/>
        <w:tc>
          <w:tcPr>
            <w:tcW w:w="583" w:type="dxa"/>
            <w:vMerge w:val="continue"/>
            <w:shd w:val="clear" w:color="auto" w:themeFill="accent4" w:themeFillTint="66" w:themeFillShade="FF"/>
            <w:textDirection w:val="tbRlV"/>
            <w:vAlign w:val="top"/>
          </w:tcPr>
          <w:p>
            <w:pPr>
              <w:pStyle w:val="0"/>
              <w:ind w:left="113" w:right="113"/>
              <w:rPr>
                <w:rFonts w:hint="default" w:asciiTheme="majorEastAsia" w:hAnsiTheme="majorEastAsia" w:eastAsiaTheme="majorEastAsia"/>
                <w:kern w:val="0"/>
                <w:sz w:val="24"/>
              </w:rPr>
            </w:pPr>
          </w:p>
        </w:tc>
        <w:tc>
          <w:tcPr>
            <w:tcW w:w="4294" w:type="dxa"/>
            <w:vMerge w:val="restart"/>
            <w:shd w:val="clear" w:color="auto" w:themeFill="accent4" w:themeFillTint="33" w:themeFillShade="FF"/>
            <w:vAlign w:val="top"/>
          </w:tcPr>
          <w:p>
            <w:pPr>
              <w:pStyle w:val="0"/>
              <w:ind w:right="960"/>
              <w:rPr>
                <w:rFonts w:hint="default" w:asciiTheme="majorEastAsia" w:hAnsiTheme="majorEastAsia" w:eastAsiaTheme="majorEastAsia"/>
                <w:kern w:val="0"/>
              </w:rPr>
            </w:pPr>
            <w:r>
              <w:rPr>
                <w:rFonts w:hint="eastAsia" w:asciiTheme="majorEastAsia" w:hAnsiTheme="majorEastAsia" w:eastAsiaTheme="majorEastAsia"/>
                <w:kern w:val="0"/>
                <w:sz w:val="24"/>
              </w:rPr>
              <w:t xml:space="preserve">(2) </w:t>
            </w:r>
            <w:r>
              <w:rPr>
                <w:rFonts w:hint="eastAsia" w:asciiTheme="majorEastAsia" w:hAnsiTheme="majorEastAsia" w:eastAsiaTheme="majorEastAsia"/>
                <w:kern w:val="0"/>
                <w:sz w:val="24"/>
              </w:rPr>
              <w:t>基金、未収金など</w:t>
            </w:r>
          </w:p>
          <w:p>
            <w:pPr>
              <w:pStyle w:val="0"/>
              <w:ind w:right="960" w:firstLine="210" w:firstLineChars="100"/>
              <w:rPr>
                <w:rFonts w:hint="default" w:asciiTheme="minorEastAsia" w:hAnsiTheme="minorEastAsia"/>
                <w:kern w:val="0"/>
                <w:sz w:val="24"/>
              </w:rPr>
            </w:pPr>
            <w:r>
              <w:rPr>
                <w:rFonts w:hint="eastAsia" w:asciiTheme="minorEastAsia" w:hAnsiTheme="minorEastAsia"/>
                <w:kern w:val="0"/>
              </w:rPr>
              <w:t>財政調整基金、未収金など</w:t>
            </w:r>
          </w:p>
        </w:tc>
        <w:tc>
          <w:tcPr>
            <w:tcW w:w="486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kern w:val="0"/>
                <w:sz w:val="22"/>
              </w:rPr>
            </w:pPr>
            <w:r>
              <w:rPr>
                <w:rFonts w:hint="eastAsia" w:asciiTheme="majorEastAsia" w:hAnsiTheme="majorEastAsia" w:eastAsiaTheme="majorEastAsia"/>
                <w:kern w:val="0"/>
                <w:sz w:val="22"/>
              </w:rPr>
              <w:t>純資産の部（現在までの世代が負担した金額）</w:t>
            </w:r>
          </w:p>
        </w:tc>
      </w:tr>
      <w:tr>
        <w:trPr/>
        <w:tc>
          <w:tcPr>
            <w:tcW w:w="583" w:type="dxa"/>
            <w:vMerge w:val="continue"/>
            <w:shd w:val="clear" w:color="auto" w:themeFill="accent4" w:themeFillTint="66" w:themeFillShade="FF"/>
            <w:vAlign w:val="top"/>
          </w:tcPr>
          <w:p>
            <w:pPr>
              <w:pStyle w:val="0"/>
              <w:ind w:right="960"/>
              <w:rPr>
                <w:rFonts w:hint="default" w:asciiTheme="majorEastAsia" w:hAnsiTheme="majorEastAsia" w:eastAsiaTheme="majorEastAsia"/>
                <w:kern w:val="0"/>
                <w:sz w:val="24"/>
              </w:rPr>
            </w:pPr>
          </w:p>
        </w:tc>
        <w:tc>
          <w:tcPr>
            <w:tcW w:w="4294" w:type="dxa"/>
            <w:vMerge w:val="continue"/>
            <w:shd w:val="clear" w:color="auto" w:themeFill="accent4" w:themeFillTint="33" w:themeFillShade="FF"/>
            <w:vAlign w:val="top"/>
          </w:tcPr>
          <w:p>
            <w:pPr>
              <w:pStyle w:val="0"/>
              <w:ind w:right="960"/>
              <w:rPr>
                <w:rFonts w:hint="default" w:asciiTheme="majorEastAsia" w:hAnsiTheme="majorEastAsia" w:eastAsiaTheme="majorEastAsia"/>
                <w:kern w:val="0"/>
                <w:sz w:val="24"/>
              </w:rPr>
            </w:pPr>
          </w:p>
        </w:tc>
        <w:tc>
          <w:tcPr>
            <w:tcW w:w="4865" w:type="dxa"/>
            <w:gridSpan w:val="2"/>
            <w:shd w:val="clear" w:color="auto" w:themeFill="accent2" w:themeFillTint="66" w:themeFillShade="FF"/>
            <w:vAlign w:val="top"/>
          </w:tcPr>
          <w:p>
            <w:pPr>
              <w:pStyle w:val="0"/>
              <w:ind w:right="960"/>
              <w:rPr>
                <w:rFonts w:hint="default" w:asciiTheme="majorEastAsia" w:hAnsiTheme="majorEastAsia" w:eastAsiaTheme="majorEastAsia"/>
                <w:kern w:val="0"/>
                <w:sz w:val="24"/>
              </w:rPr>
            </w:pPr>
            <w:r>
              <w:rPr>
                <w:rFonts w:hint="eastAsia" w:asciiTheme="majorEastAsia" w:hAnsiTheme="majorEastAsia" w:eastAsiaTheme="majorEastAsia"/>
                <w:kern w:val="0"/>
                <w:sz w:val="24"/>
              </w:rPr>
              <w:t>純資産</w:t>
            </w:r>
          </w:p>
        </w:tc>
      </w:tr>
    </w:tbl>
    <w:p>
      <w:pPr>
        <w:pStyle w:val="0"/>
        <w:ind w:firstLine="240" w:firstLineChars="100"/>
        <w:rPr>
          <w:rFonts w:hint="default" w:ascii="ＭＳ 明朝" w:hAnsi="ＭＳ 明朝" w:eastAsia="ＭＳ 明朝"/>
          <w:sz w:val="24"/>
        </w:rPr>
      </w:pP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資産は占冠村がこれまでに住民サービス提供のために形成し、今後も住民サービス提供のために利用される財産です。</w:t>
      </w: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財産形成に係る</w:t>
      </w:r>
      <w:r>
        <w:rPr>
          <w:rFonts w:hint="default" w:ascii="ＭＳ 明朝" w:hAnsi="ＭＳ 明朝" w:eastAsia="ＭＳ 明朝"/>
          <w:color w:val="000000" w:themeColor="text1"/>
          <w:sz w:val="24"/>
        </w:rPr>
        <w:t>財源が地方債等であれば負債に、補助金等であれば純資産に計上されます</w:t>
      </w:r>
      <w:r>
        <w:rPr>
          <w:rFonts w:hint="eastAsia" w:ascii="ＭＳ 明朝" w:hAnsi="ＭＳ 明朝" w:eastAsia="ＭＳ 明朝"/>
          <w:color w:val="000000" w:themeColor="text1"/>
          <w:sz w:val="24"/>
        </w:rPr>
        <w:t>。</w:t>
      </w:r>
    </w:p>
    <w:p>
      <w:pPr>
        <w:pStyle w:val="0"/>
        <w:ind w:firstLine="240" w:firstLineChars="100"/>
        <w:rPr>
          <w:rFonts w:hint="default" w:ascii="ＭＳ 明朝" w:hAnsi="ＭＳ 明朝" w:eastAsia="ＭＳ 明朝"/>
          <w:sz w:val="24"/>
        </w:rPr>
      </w:pPr>
    </w:p>
    <w:p>
      <w:pPr>
        <w:pStyle w:val="0"/>
        <w:ind w:firstLine="240" w:firstLineChars="100"/>
        <w:rPr>
          <w:rFonts w:hint="default" w:ascii="ＭＳ ゴシック" w:hAnsi="ＭＳ ゴシック" w:eastAsia="ＭＳ ゴシック"/>
          <w:sz w:val="22"/>
        </w:rPr>
      </w:pPr>
      <w:r>
        <w:rPr>
          <w:rFonts w:hint="eastAsia" w:ascii="ＭＳ 明朝" w:hAnsi="ＭＳ 明朝" w:eastAsia="ＭＳ 明朝"/>
          <w:sz w:val="24"/>
        </w:rPr>
        <w:t>具体的には以下の通りです。</w:t>
      </w:r>
    </w:p>
    <w:tbl>
      <w:tblPr>
        <w:tblStyle w:val="11"/>
        <w:tblW w:w="9639" w:type="dxa"/>
        <w:jc w:val="center"/>
        <w:tblInd w:w="0" w:type="dxa"/>
        <w:tblBorders>
          <w:top w:val="single" w:color="C0C0C0" w:sz="8" w:space="0"/>
          <w:left w:val="single" w:color="C0C0C0" w:sz="8" w:space="0"/>
          <w:bottom w:val="single" w:color="C0C0C0" w:sz="8" w:space="0"/>
          <w:right w:val="single" w:color="C0C0C0" w:sz="8" w:space="0"/>
        </w:tblBorders>
        <w:tblLayout w:type="fixed"/>
        <w:tblCellMar>
          <w:top w:w="113" w:type="dxa"/>
          <w:bottom w:w="113" w:type="dxa"/>
        </w:tblCellMar>
        <w:tblLook w:firstRow="1" w:lastRow="1" w:firstColumn="1" w:lastColumn="1" w:noHBand="0" w:noVBand="0" w:val="01E0"/>
      </w:tblPr>
      <w:tblGrid>
        <w:gridCol w:w="9639"/>
      </w:tblGrid>
      <w:tr>
        <w:trPr>
          <w:trHeight w:val="1076" w:hRule="atLeast"/>
        </w:trPr>
        <w:tc>
          <w:tcPr>
            <w:tcW w:w="9639" w:type="dxa"/>
            <w:shd w:val="thinHorzStripe" w:color="FFFFF0" w:fill="auto"/>
            <w:vAlign w:val="top"/>
          </w:tcPr>
          <w:p>
            <w:pPr>
              <w:pStyle w:val="0"/>
              <w:snapToGrid w:val="0"/>
              <w:rPr>
                <w:rFonts w:hint="default" w:ascii="MS UI Gothic" w:hAnsi="MS UI Gothic" w:eastAsia="MS UI Gothic"/>
                <w:sz w:val="24"/>
              </w:rPr>
            </w:pPr>
            <w:r>
              <w:rPr>
                <w:rFonts w:hint="eastAsia" w:ascii="MS UI Gothic" w:hAnsi="MS UI Gothic" w:eastAsia="MS UI Gothic"/>
                <w:sz w:val="24"/>
              </w:rPr>
              <w:t>（１）資産</w:t>
            </w:r>
          </w:p>
          <w:p>
            <w:pPr>
              <w:pStyle w:val="0"/>
              <w:snapToGrid w:val="0"/>
              <w:ind w:firstLine="360" w:firstLineChars="150"/>
              <w:rPr>
                <w:rFonts w:hint="default" w:asciiTheme="minorEastAsia" w:hAnsiTheme="minorEastAsia"/>
                <w:sz w:val="24"/>
              </w:rPr>
            </w:pPr>
            <w:r>
              <w:rPr>
                <w:rFonts w:hint="eastAsia" w:asciiTheme="minorEastAsia" w:hAnsiTheme="minorEastAsia"/>
                <w:sz w:val="24"/>
              </w:rPr>
              <w:t>学校、道路など将来の世代に引継ぐ社会資本や、基金など将来現金化が可能な財産</w:t>
            </w:r>
          </w:p>
          <w:p>
            <w:pPr>
              <w:pStyle w:val="0"/>
              <w:snapToGrid w:val="0"/>
              <w:spacing w:before="90" w:beforeLines="25" w:beforeAutospacing="0"/>
              <w:rPr>
                <w:rFonts w:hint="default" w:ascii="MS UI Gothic" w:hAnsi="MS UI Gothic" w:eastAsia="MS UI Gothic"/>
                <w:sz w:val="24"/>
              </w:rPr>
            </w:pPr>
            <w:r>
              <w:rPr>
                <w:rFonts w:hint="eastAsia" w:ascii="MS UI Gothic" w:hAnsi="MS UI Gothic" w:eastAsia="MS UI Gothic"/>
                <w:sz w:val="24"/>
              </w:rPr>
              <w:t>（２）負債</w:t>
            </w:r>
          </w:p>
          <w:p>
            <w:pPr>
              <w:pStyle w:val="0"/>
              <w:snapToGrid w:val="0"/>
              <w:ind w:firstLine="360" w:firstLineChars="150"/>
              <w:rPr>
                <w:rFonts w:hint="default" w:asciiTheme="minorEastAsia" w:hAnsiTheme="minorEastAsia"/>
                <w:sz w:val="24"/>
              </w:rPr>
            </w:pPr>
            <w:r>
              <w:rPr>
                <w:rFonts w:hint="eastAsia" w:asciiTheme="minorEastAsia" w:hAnsiTheme="minorEastAsia"/>
                <w:sz w:val="24"/>
              </w:rPr>
              <w:t>地方債や退職給付引当金など将来の世代の負担となるもの</w:t>
            </w:r>
          </w:p>
          <w:p>
            <w:pPr>
              <w:pStyle w:val="0"/>
              <w:snapToGrid w:val="0"/>
              <w:spacing w:before="90" w:beforeLines="25" w:beforeAutospacing="0"/>
              <w:rPr>
                <w:rFonts w:hint="default" w:ascii="MS UI Gothic" w:hAnsi="MS UI Gothic" w:eastAsia="MS UI Gothic"/>
                <w:sz w:val="24"/>
              </w:rPr>
            </w:pPr>
            <w:r>
              <w:rPr>
                <w:rFonts w:hint="eastAsia" w:ascii="MS UI Gothic" w:hAnsi="MS UI Gothic" w:eastAsia="MS UI Gothic"/>
                <w:sz w:val="24"/>
              </w:rPr>
              <w:t>（３）純資産</w:t>
            </w:r>
          </w:p>
          <w:p>
            <w:pPr>
              <w:pStyle w:val="0"/>
              <w:snapToGrid w:val="0"/>
              <w:ind w:firstLine="360" w:firstLineChars="150"/>
              <w:rPr>
                <w:rFonts w:hint="default" w:ascii="ＭＳ 明朝" w:hAnsi="ＭＳ 明朝" w:eastAsia="ＭＳ 明朝"/>
                <w:sz w:val="24"/>
              </w:rPr>
            </w:pPr>
            <w:r>
              <w:rPr>
                <w:rFonts w:hint="eastAsia" w:ascii="ＭＳ 明朝" w:hAnsi="ＭＳ 明朝" w:eastAsia="ＭＳ 明朝"/>
                <w:sz w:val="24"/>
              </w:rPr>
              <w:t>過去の世代や国・道が負担した将来返済しなくてよい財源</w:t>
            </w:r>
          </w:p>
        </w:tc>
      </w:tr>
    </w:tbl>
    <w:p>
      <w:pPr>
        <w:pStyle w:val="0"/>
        <w:rPr>
          <w:rFonts w:hint="default" w:ascii="MS UI Gothic" w:hAnsi="MS UI Gothic" w:eastAsia="MS UI Gothic"/>
          <w:color w:val="000000" w:themeColor="text1"/>
          <w:sz w:val="24"/>
        </w:rPr>
      </w:pPr>
      <w:r>
        <w:rPr>
          <w:rFonts w:hint="default" w:ascii="MS UI Gothic" w:hAnsi="MS UI Gothic" w:eastAsia="MS UI Gothic"/>
          <w:color w:val="000000" w:themeColor="text1"/>
          <w:sz w:val="24"/>
        </w:rPr>
        <w:br w:type="page"/>
      </w:r>
    </w:p>
    <w:p>
      <w:pPr>
        <w:pStyle w:val="15"/>
        <w:numPr>
          <w:ilvl w:val="0"/>
          <w:numId w:val="1"/>
        </w:numPr>
        <w:ind w:leftChars="0" w:right="-35"/>
        <w:rPr>
          <w:rFonts w:hint="default" w:ascii="メイリオ" w:hAnsi="メイリオ" w:eastAsia="メイリオ"/>
          <w:kern w:val="0"/>
          <w:sz w:val="24"/>
        </w:rPr>
      </w:pPr>
      <w:r>
        <w:rPr>
          <w:rFonts w:hint="eastAsia" w:ascii="メイリオ" w:hAnsi="メイリオ" w:eastAsia="メイリオ"/>
          <w:kern w:val="0"/>
          <w:sz w:val="24"/>
        </w:rPr>
        <w:t>令和元年度貸借対照表（単位：千円）</w:t>
      </w:r>
    </w:p>
    <w:p>
      <w:pPr>
        <w:pStyle w:val="0"/>
        <w:jc w:val="center"/>
        <w:rPr>
          <w:rFonts w:hint="default" w:ascii="ＭＳ ゴシック" w:hAnsi="ＭＳ ゴシック" w:eastAsia="ＭＳ ゴシック"/>
          <w:sz w:val="22"/>
        </w:rPr>
      </w:pPr>
      <w:r>
        <w:rPr>
          <w:rFonts w:hint="default"/>
        </w:rPr>
        <w:drawing>
          <wp:inline distT="0" distB="0" distL="0" distR="0">
            <wp:extent cx="6192520" cy="5807075"/>
            <wp:effectExtent l="0" t="0" r="0" b="0"/>
            <wp:docPr id="1039" name="Picture 2"/>
            <a:graphic xmlns:a="http://schemas.openxmlformats.org/drawingml/2006/main">
              <a:graphicData uri="http://schemas.openxmlformats.org/drawingml/2006/picture">
                <pic:pic xmlns:pic="http://schemas.openxmlformats.org/drawingml/2006/picture">
                  <pic:nvPicPr>
                    <pic:cNvPr id="1039" name="Picture 2"/>
                    <pic:cNvPicPr>
                      <a:picLocks noChangeAspect="1" noChangeArrowheads="1"/>
                    </pic:cNvPicPr>
                  </pic:nvPicPr>
                  <pic:blipFill>
                    <a:blip r:embed="rId9"/>
                    <a:stretch>
                      <a:fillRect/>
                    </a:stretch>
                  </pic:blipFill>
                  <pic:spPr>
                    <a:xfrm>
                      <a:off x="0" y="0"/>
                      <a:ext cx="6192520" cy="5807075"/>
                    </a:xfrm>
                    <a:prstGeom prst="rect">
                      <a:avLst/>
                    </a:prstGeom>
                    <a:noFill/>
                    <a:ln>
                      <a:noFill/>
                    </a:ln>
                  </pic:spPr>
                </pic:pic>
              </a:graphicData>
            </a:graphic>
          </wp:inline>
        </w:drawing>
      </w:r>
    </w:p>
    <w:p>
      <w:pPr>
        <w:pStyle w:val="0"/>
        <w:ind w:firstLine="1710" w:firstLineChars="950"/>
        <w:rPr>
          <w:rFonts w:hint="default" w:ascii="ＭＳ ゴシック" w:hAnsi="ＭＳ ゴシック" w:eastAsia="ＭＳ ゴシック"/>
          <w:sz w:val="18"/>
        </w:rPr>
      </w:pPr>
      <w:r>
        <w:rPr>
          <w:rFonts w:hint="eastAsia" w:ascii="ＭＳ ゴシック" w:hAnsi="ＭＳ ゴシック" w:eastAsia="ＭＳ ゴシック"/>
          <w:sz w:val="18"/>
        </w:rPr>
        <w:t>※数値は、四捨五入しているため、合計値が一部合致しない場合があります。</w:t>
      </w:r>
    </w:p>
    <w:p>
      <w:pPr>
        <w:pStyle w:val="0"/>
        <w:rPr>
          <w:rFonts w:hint="default" w:ascii="ＭＳ ゴシック" w:hAnsi="ＭＳ ゴシック" w:eastAsia="ＭＳ ゴシック"/>
          <w:sz w:val="22"/>
        </w:rPr>
      </w:pPr>
    </w:p>
    <w:p>
      <w:pPr>
        <w:pStyle w:val="0"/>
        <w:ind w:firstLine="240" w:firstLineChars="100"/>
        <w:rPr>
          <w:rFonts w:hint="default" w:ascii="ＭＳ 明朝" w:hAnsi="ＭＳ 明朝" w:eastAsia="ＭＳ 明朝"/>
          <w:sz w:val="24"/>
        </w:rPr>
      </w:pPr>
      <w:r>
        <w:rPr>
          <w:rFonts w:hint="eastAsia" w:ascii="ＭＳ 明朝" w:hAnsi="ＭＳ 明朝" w:eastAsia="ＭＳ 明朝"/>
          <w:color w:val="000000" w:themeColor="text1"/>
          <w:sz w:val="24"/>
        </w:rPr>
        <w:t>これまでに一般会計等においては約</w:t>
      </w:r>
      <w:r>
        <w:rPr>
          <w:rFonts w:hint="eastAsia" w:ascii="ＭＳ 明朝" w:hAnsi="ＭＳ 明朝" w:eastAsia="ＭＳ 明朝"/>
          <w:color w:val="000000" w:themeColor="text1"/>
          <w:sz w:val="24"/>
        </w:rPr>
        <w:t>157</w:t>
      </w:r>
      <w:r>
        <w:rPr>
          <w:rFonts w:hint="eastAsia" w:ascii="ＭＳ 明朝" w:hAnsi="ＭＳ 明朝" w:eastAsia="ＭＳ 明朝"/>
          <w:color w:val="000000" w:themeColor="text1"/>
          <w:sz w:val="24"/>
        </w:rPr>
        <w:t>億</w:t>
      </w:r>
      <w:r>
        <w:rPr>
          <w:rFonts w:hint="eastAsia" w:ascii="ＭＳ 明朝" w:hAnsi="ＭＳ 明朝" w:eastAsia="ＭＳ 明朝"/>
          <w:color w:val="000000" w:themeColor="text1"/>
          <w:sz w:val="24"/>
        </w:rPr>
        <w:t>26</w:t>
      </w:r>
      <w:r>
        <w:rPr>
          <w:rFonts w:hint="eastAsia" w:ascii="ＭＳ 明朝" w:hAnsi="ＭＳ 明朝" w:eastAsia="ＭＳ 明朝"/>
          <w:color w:val="000000" w:themeColor="text1"/>
          <w:sz w:val="24"/>
        </w:rPr>
        <w:t>百万円の資産を形成してきました。そのうち、純資産である約</w:t>
      </w:r>
      <w:r>
        <w:rPr>
          <w:rFonts w:hint="eastAsia" w:ascii="ＭＳ 明朝" w:hAnsi="ＭＳ 明朝" w:eastAsia="ＭＳ 明朝"/>
          <w:color w:val="000000" w:themeColor="text1"/>
          <w:sz w:val="24"/>
        </w:rPr>
        <w:t>126</w:t>
      </w:r>
      <w:r>
        <w:rPr>
          <w:rFonts w:hint="eastAsia" w:ascii="ＭＳ 明朝" w:hAnsi="ＭＳ 明朝" w:eastAsia="ＭＳ 明朝"/>
          <w:color w:val="000000" w:themeColor="text1"/>
          <w:sz w:val="24"/>
        </w:rPr>
        <w:t>億</w:t>
      </w:r>
      <w:r>
        <w:rPr>
          <w:rFonts w:hint="eastAsia" w:ascii="ＭＳ 明朝" w:hAnsi="ＭＳ 明朝" w:eastAsia="ＭＳ 明朝"/>
          <w:color w:val="000000" w:themeColor="text1"/>
          <w:sz w:val="24"/>
        </w:rPr>
        <w:t>52</w:t>
      </w:r>
      <w:r>
        <w:rPr>
          <w:rFonts w:hint="eastAsia" w:ascii="ＭＳ 明朝" w:hAnsi="ＭＳ 明朝" w:eastAsia="ＭＳ 明朝"/>
          <w:color w:val="000000" w:themeColor="text1"/>
          <w:sz w:val="24"/>
        </w:rPr>
        <w:t>百万円（</w:t>
      </w:r>
      <w:r>
        <w:rPr>
          <w:rFonts w:hint="eastAsia" w:ascii="ＭＳ 明朝" w:hAnsi="ＭＳ 明朝" w:eastAsia="ＭＳ 明朝"/>
          <w:color w:val="000000" w:themeColor="text1"/>
          <w:sz w:val="24"/>
        </w:rPr>
        <w:t>80.5</w:t>
      </w:r>
      <w:r>
        <w:rPr>
          <w:rFonts w:hint="default" w:ascii="ＭＳ 明朝" w:hAnsi="ＭＳ 明朝" w:eastAsia="ＭＳ 明朝"/>
          <w:color w:val="000000" w:themeColor="text1"/>
          <w:sz w:val="24"/>
        </w:rPr>
        <w:t>%</w:t>
      </w:r>
      <w:r>
        <w:rPr>
          <w:rFonts w:hint="eastAsia" w:ascii="ＭＳ 明朝" w:hAnsi="ＭＳ 明朝" w:eastAsia="ＭＳ 明朝"/>
          <w:color w:val="000000" w:themeColor="text1"/>
          <w:sz w:val="24"/>
        </w:rPr>
        <w:t>）については、過去の世代や国・道の負担で既に支払いが済んでおり、負債である約</w:t>
      </w:r>
      <w:r>
        <w:rPr>
          <w:rFonts w:hint="eastAsia" w:ascii="ＭＳ 明朝" w:hAnsi="ＭＳ 明朝" w:eastAsia="ＭＳ 明朝"/>
          <w:color w:val="000000" w:themeColor="text1"/>
          <w:sz w:val="24"/>
        </w:rPr>
        <w:t>30</w:t>
      </w:r>
      <w:r>
        <w:rPr>
          <w:rFonts w:hint="eastAsia" w:ascii="ＭＳ 明朝" w:hAnsi="ＭＳ 明朝" w:eastAsia="ＭＳ 明朝"/>
          <w:color w:val="000000" w:themeColor="text1"/>
          <w:sz w:val="24"/>
        </w:rPr>
        <w:t>億</w:t>
      </w:r>
      <w:r>
        <w:rPr>
          <w:rFonts w:hint="eastAsia" w:ascii="ＭＳ 明朝" w:hAnsi="ＭＳ 明朝" w:eastAsia="ＭＳ 明朝"/>
          <w:color w:val="000000" w:themeColor="text1"/>
          <w:sz w:val="24"/>
        </w:rPr>
        <w:t>74</w:t>
      </w:r>
      <w:r>
        <w:rPr>
          <w:rFonts w:hint="eastAsia" w:ascii="ＭＳ 明朝" w:hAnsi="ＭＳ 明朝" w:eastAsia="ＭＳ 明朝"/>
          <w:color w:val="000000" w:themeColor="text1"/>
          <w:sz w:val="24"/>
        </w:rPr>
        <w:t>百万円</w:t>
      </w:r>
      <w:r>
        <w:rPr>
          <w:rFonts w:hint="eastAsia" w:ascii="ＭＳ 明朝" w:hAnsi="ＭＳ 明朝" w:eastAsia="ＭＳ 明朝"/>
          <w:sz w:val="24"/>
        </w:rPr>
        <w:t>（</w:t>
      </w:r>
      <w:r>
        <w:rPr>
          <w:rFonts w:hint="eastAsia" w:ascii="ＭＳ 明朝" w:hAnsi="ＭＳ 明朝" w:eastAsia="ＭＳ 明朝"/>
          <w:sz w:val="24"/>
        </w:rPr>
        <w:t>19.5</w:t>
      </w:r>
      <w:r>
        <w:rPr>
          <w:rFonts w:hint="default" w:ascii="ＭＳ 明朝" w:hAnsi="ＭＳ 明朝" w:eastAsia="ＭＳ 明朝"/>
          <w:sz w:val="24"/>
        </w:rPr>
        <w:t>%</w:t>
      </w:r>
      <w:r>
        <w:rPr>
          <w:rFonts w:hint="eastAsia" w:ascii="ＭＳ 明朝" w:hAnsi="ＭＳ 明朝" w:eastAsia="ＭＳ 明朝"/>
          <w:sz w:val="24"/>
        </w:rPr>
        <w:t>）については、将来の世代が負担していくことになります。また、全体会計では資産は約</w:t>
      </w:r>
      <w:r>
        <w:rPr>
          <w:rFonts w:hint="eastAsia" w:ascii="ＭＳ 明朝" w:hAnsi="ＭＳ 明朝" w:eastAsia="ＭＳ 明朝"/>
          <w:sz w:val="24"/>
        </w:rPr>
        <w:t>166</w:t>
      </w:r>
      <w:r>
        <w:rPr>
          <w:rFonts w:hint="eastAsia" w:ascii="ＭＳ 明朝" w:hAnsi="ＭＳ 明朝" w:eastAsia="ＭＳ 明朝"/>
          <w:sz w:val="24"/>
        </w:rPr>
        <w:t>億</w:t>
      </w:r>
      <w:r>
        <w:rPr>
          <w:rFonts w:hint="eastAsia" w:ascii="ＭＳ 明朝" w:hAnsi="ＭＳ 明朝" w:eastAsia="ＭＳ 明朝"/>
          <w:sz w:val="24"/>
        </w:rPr>
        <w:t>73</w:t>
      </w:r>
      <w:r>
        <w:rPr>
          <w:rFonts w:hint="eastAsia" w:ascii="ＭＳ 明朝" w:hAnsi="ＭＳ 明朝" w:eastAsia="ＭＳ 明朝"/>
          <w:sz w:val="24"/>
        </w:rPr>
        <w:t>百万円、純資産は約</w:t>
      </w:r>
      <w:r>
        <w:rPr>
          <w:rFonts w:hint="eastAsia" w:ascii="ＭＳ 明朝" w:hAnsi="ＭＳ 明朝" w:eastAsia="ＭＳ 明朝"/>
          <w:sz w:val="24"/>
        </w:rPr>
        <w:t>128</w:t>
      </w:r>
      <w:r>
        <w:rPr>
          <w:rFonts w:hint="eastAsia" w:ascii="ＭＳ 明朝" w:hAnsi="ＭＳ 明朝" w:eastAsia="ＭＳ 明朝"/>
          <w:sz w:val="24"/>
        </w:rPr>
        <w:t>億</w:t>
      </w:r>
      <w:r>
        <w:rPr>
          <w:rFonts w:hint="eastAsia" w:ascii="ＭＳ 明朝" w:hAnsi="ＭＳ 明朝" w:eastAsia="ＭＳ 明朝"/>
          <w:sz w:val="24"/>
        </w:rPr>
        <w:t>22</w:t>
      </w:r>
      <w:r>
        <w:rPr>
          <w:rFonts w:hint="eastAsia" w:ascii="ＭＳ 明朝" w:hAnsi="ＭＳ 明朝" w:eastAsia="ＭＳ 明朝"/>
          <w:sz w:val="24"/>
        </w:rPr>
        <w:t>百万円（</w:t>
      </w:r>
      <w:r>
        <w:rPr>
          <w:rFonts w:hint="eastAsia" w:ascii="ＭＳ 明朝" w:hAnsi="ＭＳ 明朝" w:eastAsia="ＭＳ 明朝"/>
          <w:sz w:val="24"/>
        </w:rPr>
        <w:t>76.9</w:t>
      </w:r>
      <w:r>
        <w:rPr>
          <w:rFonts w:hint="default" w:ascii="ＭＳ 明朝" w:hAnsi="ＭＳ 明朝" w:eastAsia="ＭＳ 明朝"/>
          <w:sz w:val="24"/>
        </w:rPr>
        <w:t>%</w:t>
      </w:r>
      <w:r>
        <w:rPr>
          <w:rFonts w:hint="eastAsia" w:ascii="ＭＳ 明朝" w:hAnsi="ＭＳ 明朝" w:eastAsia="ＭＳ 明朝"/>
          <w:sz w:val="24"/>
        </w:rPr>
        <w:t>）、負債は約</w:t>
      </w:r>
      <w:r>
        <w:rPr>
          <w:rFonts w:hint="eastAsia" w:ascii="ＭＳ 明朝" w:hAnsi="ＭＳ 明朝" w:eastAsia="ＭＳ 明朝"/>
          <w:sz w:val="24"/>
        </w:rPr>
        <w:t>38</w:t>
      </w:r>
      <w:r>
        <w:rPr>
          <w:rFonts w:hint="eastAsia" w:ascii="ＭＳ 明朝" w:hAnsi="ＭＳ 明朝" w:eastAsia="ＭＳ 明朝"/>
          <w:sz w:val="24"/>
        </w:rPr>
        <w:t>億</w:t>
      </w:r>
      <w:r>
        <w:rPr>
          <w:rFonts w:hint="eastAsia" w:ascii="ＭＳ 明朝" w:hAnsi="ＭＳ 明朝" w:eastAsia="ＭＳ 明朝"/>
          <w:sz w:val="24"/>
        </w:rPr>
        <w:t>52</w:t>
      </w:r>
      <w:r>
        <w:rPr>
          <w:rFonts w:hint="eastAsia" w:ascii="ＭＳ 明朝" w:hAnsi="ＭＳ 明朝" w:eastAsia="ＭＳ 明朝"/>
          <w:sz w:val="24"/>
        </w:rPr>
        <w:t>百万円（</w:t>
      </w:r>
      <w:r>
        <w:rPr>
          <w:rFonts w:hint="eastAsia" w:ascii="ＭＳ 明朝" w:hAnsi="ＭＳ 明朝" w:eastAsia="ＭＳ 明朝"/>
          <w:sz w:val="24"/>
        </w:rPr>
        <w:t>23.1</w:t>
      </w:r>
      <w:r>
        <w:rPr>
          <w:rFonts w:hint="default" w:ascii="ＭＳ 明朝" w:hAnsi="ＭＳ 明朝" w:eastAsia="ＭＳ 明朝"/>
          <w:sz w:val="24"/>
        </w:rPr>
        <w:t>%</w:t>
      </w:r>
      <w:r>
        <w:rPr>
          <w:rFonts w:hint="eastAsia" w:ascii="ＭＳ 明朝" w:hAnsi="ＭＳ 明朝" w:eastAsia="ＭＳ 明朝"/>
          <w:sz w:val="24"/>
        </w:rPr>
        <w:t>）、連結会計では資産は約</w:t>
      </w:r>
      <w:r>
        <w:rPr>
          <w:rFonts w:hint="eastAsia" w:ascii="ＭＳ 明朝" w:hAnsi="ＭＳ 明朝" w:eastAsia="ＭＳ 明朝"/>
          <w:sz w:val="24"/>
        </w:rPr>
        <w:t>169</w:t>
      </w:r>
      <w:r>
        <w:rPr>
          <w:rFonts w:hint="eastAsia" w:ascii="ＭＳ 明朝" w:hAnsi="ＭＳ 明朝" w:eastAsia="ＭＳ 明朝"/>
          <w:sz w:val="24"/>
        </w:rPr>
        <w:t>億</w:t>
      </w:r>
      <w:r>
        <w:rPr>
          <w:rFonts w:hint="eastAsia" w:ascii="ＭＳ 明朝" w:hAnsi="ＭＳ 明朝" w:eastAsia="ＭＳ 明朝"/>
          <w:sz w:val="24"/>
        </w:rPr>
        <w:t>90</w:t>
      </w:r>
      <w:r>
        <w:rPr>
          <w:rFonts w:hint="eastAsia" w:ascii="ＭＳ 明朝" w:hAnsi="ＭＳ 明朝" w:eastAsia="ＭＳ 明朝"/>
          <w:sz w:val="24"/>
        </w:rPr>
        <w:t>百万円、純資産は約</w:t>
      </w:r>
      <w:r>
        <w:rPr>
          <w:rFonts w:hint="eastAsia" w:ascii="ＭＳ 明朝" w:hAnsi="ＭＳ 明朝" w:eastAsia="ＭＳ 明朝"/>
          <w:sz w:val="24"/>
        </w:rPr>
        <w:t>130</w:t>
      </w:r>
      <w:r>
        <w:rPr>
          <w:rFonts w:hint="eastAsia" w:ascii="ＭＳ 明朝" w:hAnsi="ＭＳ 明朝" w:eastAsia="ＭＳ 明朝"/>
          <w:sz w:val="24"/>
        </w:rPr>
        <w:t>億</w:t>
      </w:r>
      <w:r>
        <w:rPr>
          <w:rFonts w:hint="eastAsia" w:ascii="ＭＳ 明朝" w:hAnsi="ＭＳ 明朝" w:eastAsia="ＭＳ 明朝"/>
          <w:sz w:val="24"/>
        </w:rPr>
        <w:t>51</w:t>
      </w:r>
      <w:r>
        <w:rPr>
          <w:rFonts w:hint="eastAsia" w:ascii="ＭＳ 明朝" w:hAnsi="ＭＳ 明朝" w:eastAsia="ＭＳ 明朝"/>
          <w:sz w:val="24"/>
        </w:rPr>
        <w:t>百万円（</w:t>
      </w:r>
      <w:r>
        <w:rPr>
          <w:rFonts w:hint="eastAsia" w:ascii="ＭＳ 明朝" w:hAnsi="ＭＳ 明朝" w:eastAsia="ＭＳ 明朝"/>
          <w:sz w:val="24"/>
        </w:rPr>
        <w:t>76.8</w:t>
      </w:r>
      <w:r>
        <w:rPr>
          <w:rFonts w:hint="default" w:ascii="ＭＳ 明朝" w:hAnsi="ＭＳ 明朝" w:eastAsia="ＭＳ 明朝"/>
          <w:sz w:val="24"/>
        </w:rPr>
        <w:t>%</w:t>
      </w:r>
      <w:r>
        <w:rPr>
          <w:rFonts w:hint="eastAsia" w:ascii="ＭＳ 明朝" w:hAnsi="ＭＳ 明朝" w:eastAsia="ＭＳ 明朝"/>
          <w:sz w:val="24"/>
        </w:rPr>
        <w:t>）、負債は約</w:t>
      </w:r>
      <w:r>
        <w:rPr>
          <w:rFonts w:hint="eastAsia" w:ascii="ＭＳ 明朝" w:hAnsi="ＭＳ 明朝" w:eastAsia="ＭＳ 明朝"/>
          <w:sz w:val="24"/>
        </w:rPr>
        <w:t>39</w:t>
      </w:r>
      <w:r>
        <w:rPr>
          <w:rFonts w:hint="eastAsia" w:ascii="ＭＳ 明朝" w:hAnsi="ＭＳ 明朝" w:eastAsia="ＭＳ 明朝"/>
          <w:sz w:val="24"/>
        </w:rPr>
        <w:t>億</w:t>
      </w:r>
      <w:r>
        <w:rPr>
          <w:rFonts w:hint="eastAsia" w:ascii="ＭＳ 明朝" w:hAnsi="ＭＳ 明朝" w:eastAsia="ＭＳ 明朝"/>
          <w:sz w:val="24"/>
        </w:rPr>
        <w:t>39</w:t>
      </w:r>
      <w:r>
        <w:rPr>
          <w:rFonts w:hint="eastAsia" w:ascii="ＭＳ 明朝" w:hAnsi="ＭＳ 明朝" w:eastAsia="ＭＳ 明朝"/>
          <w:sz w:val="24"/>
        </w:rPr>
        <w:t>百万円（</w:t>
      </w:r>
      <w:r>
        <w:rPr>
          <w:rFonts w:hint="eastAsia" w:ascii="ＭＳ 明朝" w:hAnsi="ＭＳ 明朝" w:eastAsia="ＭＳ 明朝"/>
          <w:sz w:val="24"/>
        </w:rPr>
        <w:t>23.2</w:t>
      </w:r>
      <w:r>
        <w:rPr>
          <w:rFonts w:hint="default" w:ascii="ＭＳ 明朝" w:hAnsi="ＭＳ 明朝" w:eastAsia="ＭＳ 明朝"/>
          <w:sz w:val="24"/>
        </w:rPr>
        <w:t>%</w:t>
      </w:r>
      <w:r>
        <w:rPr>
          <w:rFonts w:hint="eastAsia" w:ascii="ＭＳ 明朝" w:hAnsi="ＭＳ 明朝" w:eastAsia="ＭＳ 明朝"/>
          <w:sz w:val="24"/>
        </w:rPr>
        <w:t>）となっています。</w:t>
      </w:r>
    </w:p>
    <w:p>
      <w:pPr>
        <w:pStyle w:val="0"/>
        <w:ind w:firstLine="240" w:firstLineChars="100"/>
        <w:rPr>
          <w:rFonts w:hint="default" w:ascii="ＭＳ 明朝" w:hAnsi="ＭＳ 明朝" w:eastAsia="ＭＳ 明朝"/>
          <w:sz w:val="24"/>
        </w:rPr>
      </w:pPr>
    </w:p>
    <w:p>
      <w:pPr>
        <w:pStyle w:val="15"/>
        <w:numPr>
          <w:ilvl w:val="0"/>
          <w:numId w:val="1"/>
        </w:numPr>
        <w:ind w:leftChars="0"/>
        <w:rPr>
          <w:rFonts w:hint="default" w:ascii="メイリオ" w:hAnsi="メイリオ" w:eastAsia="メイリオ"/>
          <w:kern w:val="0"/>
          <w:sz w:val="24"/>
        </w:rPr>
      </w:pPr>
      <w:r>
        <w:rPr>
          <w:rFonts w:hint="eastAsia" w:ascii="メイリオ" w:hAnsi="メイリオ" w:eastAsia="メイリオ"/>
          <w:kern w:val="0"/>
          <w:sz w:val="24"/>
        </w:rPr>
        <w:t>貸借対照表前年対比（単位：千円）</w:t>
      </w:r>
    </w:p>
    <w:p>
      <w:pPr>
        <w:pStyle w:val="0"/>
        <w:jc w:val="center"/>
        <w:rPr>
          <w:rFonts w:hint="default" w:ascii="メイリオ" w:hAnsi="メイリオ" w:eastAsia="メイリオ"/>
          <w:sz w:val="24"/>
        </w:rPr>
      </w:pPr>
      <w:r>
        <w:rPr>
          <w:rFonts w:hint="default"/>
        </w:rPr>
        <w:drawing>
          <wp:inline distT="0" distB="0" distL="0" distR="0">
            <wp:extent cx="6192520" cy="6880860"/>
            <wp:effectExtent l="0" t="0" r="0" b="0"/>
            <wp:docPr id="1040" name="Picture 3"/>
            <a:graphic xmlns:a="http://schemas.openxmlformats.org/drawingml/2006/main">
              <a:graphicData uri="http://schemas.openxmlformats.org/drawingml/2006/picture">
                <pic:pic xmlns:pic="http://schemas.openxmlformats.org/drawingml/2006/picture">
                  <pic:nvPicPr>
                    <pic:cNvPr id="1040" name="Picture 3"/>
                    <pic:cNvPicPr>
                      <a:picLocks noChangeAspect="1" noChangeArrowheads="1"/>
                    </pic:cNvPicPr>
                  </pic:nvPicPr>
                  <pic:blipFill>
                    <a:blip r:embed="rId10"/>
                    <a:stretch>
                      <a:fillRect/>
                    </a:stretch>
                  </pic:blipFill>
                  <pic:spPr>
                    <a:xfrm>
                      <a:off x="0" y="0"/>
                      <a:ext cx="6192520" cy="6880860"/>
                    </a:xfrm>
                    <a:prstGeom prst="rect">
                      <a:avLst/>
                    </a:prstGeom>
                    <a:noFill/>
                    <a:ln>
                      <a:noFill/>
                    </a:ln>
                  </pic:spPr>
                </pic:pic>
              </a:graphicData>
            </a:graphic>
          </wp:inline>
        </w:drawing>
      </w:r>
    </w:p>
    <w:p>
      <w:pPr>
        <w:pStyle w:val="0"/>
        <w:jc w:val="center"/>
        <w:rPr>
          <w:rFonts w:hint="default" w:ascii="メイリオ" w:hAnsi="メイリオ" w:eastAsia="メイリオ"/>
          <w:sz w:val="24"/>
        </w:rPr>
      </w:pPr>
      <w:r>
        <w:rPr>
          <w:rFonts w:hint="default"/>
        </w:rPr>
        <w:drawing>
          <wp:inline distT="0" distB="0" distL="0" distR="0">
            <wp:extent cx="6192520" cy="2631440"/>
            <wp:effectExtent l="0" t="0" r="0" b="0"/>
            <wp:docPr id="1041" name="Picture 5"/>
            <a:graphic xmlns:a="http://schemas.openxmlformats.org/drawingml/2006/main">
              <a:graphicData uri="http://schemas.openxmlformats.org/drawingml/2006/picture">
                <pic:pic xmlns:pic="http://schemas.openxmlformats.org/drawingml/2006/picture">
                  <pic:nvPicPr>
                    <pic:cNvPr id="1041" name="Picture 5"/>
                    <pic:cNvPicPr>
                      <a:picLocks noChangeAspect="1" noChangeArrowheads="1"/>
                    </pic:cNvPicPr>
                  </pic:nvPicPr>
                  <pic:blipFill>
                    <a:blip r:embed="rId11"/>
                    <a:stretch>
                      <a:fillRect/>
                    </a:stretch>
                  </pic:blipFill>
                  <pic:spPr>
                    <a:xfrm>
                      <a:off x="0" y="0"/>
                      <a:ext cx="6192520" cy="2631440"/>
                    </a:xfrm>
                    <a:prstGeom prst="rect">
                      <a:avLst/>
                    </a:prstGeom>
                    <a:noFill/>
                    <a:ln>
                      <a:noFill/>
                    </a:ln>
                  </pic:spPr>
                </pic:pic>
              </a:graphicData>
            </a:graphic>
          </wp:inline>
        </w:drawing>
      </w:r>
    </w:p>
    <w:p>
      <w:pPr>
        <w:pStyle w:val="0"/>
        <w:ind w:firstLine="1800" w:firstLineChars="1000"/>
        <w:rPr>
          <w:rFonts w:hint="default" w:ascii="ＭＳ ゴシック" w:hAnsi="ＭＳ ゴシック" w:eastAsia="ＭＳ ゴシック"/>
          <w:sz w:val="18"/>
        </w:rPr>
      </w:pPr>
      <w:r>
        <w:rPr>
          <w:rFonts w:hint="eastAsia" w:ascii="ＭＳ ゴシック" w:hAnsi="ＭＳ ゴシック" w:eastAsia="ＭＳ ゴシック"/>
          <w:sz w:val="18"/>
        </w:rPr>
        <w:t>※数値は、四捨五入しているため、合計値が一部合致しない場合があります。</w:t>
      </w:r>
    </w:p>
    <w:p>
      <w:pPr>
        <w:pStyle w:val="0"/>
        <w:ind w:firstLine="240" w:firstLineChars="100"/>
        <w:rPr>
          <w:rFonts w:hint="default" w:ascii="ＭＳ 明朝" w:hAnsi="ＭＳ 明朝" w:eastAsia="ＭＳ 明朝"/>
          <w:sz w:val="24"/>
        </w:rPr>
      </w:pP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前年度と比較すると、一般会計等において資産は</w:t>
      </w:r>
      <w:r>
        <w:rPr>
          <w:rFonts w:hint="eastAsia" w:ascii="ＭＳ 明朝" w:hAnsi="ＭＳ 明朝" w:eastAsia="ＭＳ 明朝"/>
          <w:color w:val="000000" w:themeColor="text1"/>
          <w:sz w:val="24"/>
        </w:rPr>
        <w:t>8</w:t>
      </w:r>
      <w:r>
        <w:rPr>
          <w:rFonts w:hint="eastAsia" w:ascii="ＭＳ 明朝" w:hAnsi="ＭＳ 明朝" w:eastAsia="ＭＳ 明朝"/>
          <w:color w:val="000000" w:themeColor="text1"/>
          <w:sz w:val="24"/>
        </w:rPr>
        <w:t>億</w:t>
      </w:r>
      <w:r>
        <w:rPr>
          <w:rFonts w:hint="eastAsia" w:ascii="ＭＳ 明朝" w:hAnsi="ＭＳ 明朝" w:eastAsia="ＭＳ 明朝"/>
          <w:color w:val="000000" w:themeColor="text1"/>
          <w:sz w:val="24"/>
        </w:rPr>
        <w:t>91</w:t>
      </w:r>
      <w:r>
        <w:rPr>
          <w:rFonts w:hint="eastAsia" w:ascii="ＭＳ 明朝" w:hAnsi="ＭＳ 明朝" w:eastAsia="ＭＳ 明朝"/>
          <w:color w:val="000000" w:themeColor="text1"/>
          <w:sz w:val="24"/>
        </w:rPr>
        <w:t>百万円（</w:t>
      </w:r>
      <w:r>
        <w:rPr>
          <w:rFonts w:hint="eastAsia" w:ascii="ＭＳ 明朝" w:hAnsi="ＭＳ 明朝" w:eastAsia="ＭＳ 明朝"/>
          <w:color w:val="000000" w:themeColor="text1"/>
          <w:sz w:val="24"/>
        </w:rPr>
        <w:t>5.4</w:t>
      </w:r>
      <w:r>
        <w:rPr>
          <w:rFonts w:hint="eastAsia" w:ascii="ＭＳ 明朝" w:hAnsi="ＭＳ 明朝" w:eastAsia="ＭＳ 明朝"/>
          <w:color w:val="000000" w:themeColor="text1"/>
          <w:sz w:val="24"/>
        </w:rPr>
        <w:t>％）の減少、純資産は約</w:t>
      </w:r>
      <w:r>
        <w:rPr>
          <w:rFonts w:hint="eastAsia" w:ascii="ＭＳ 明朝" w:hAnsi="ＭＳ 明朝" w:eastAsia="ＭＳ 明朝"/>
          <w:color w:val="000000" w:themeColor="text1"/>
          <w:sz w:val="24"/>
        </w:rPr>
        <w:t>10</w:t>
      </w:r>
      <w:r>
        <w:rPr>
          <w:rFonts w:hint="eastAsia" w:ascii="ＭＳ 明朝" w:hAnsi="ＭＳ 明朝" w:eastAsia="ＭＳ 明朝"/>
          <w:color w:val="000000" w:themeColor="text1"/>
          <w:sz w:val="24"/>
        </w:rPr>
        <w:t>億</w:t>
      </w:r>
      <w:r>
        <w:rPr>
          <w:rFonts w:hint="eastAsia" w:ascii="ＭＳ 明朝" w:hAnsi="ＭＳ 明朝" w:eastAsia="ＭＳ 明朝"/>
          <w:color w:val="000000" w:themeColor="text1"/>
          <w:sz w:val="24"/>
        </w:rPr>
        <w:t>75</w:t>
      </w:r>
      <w:r>
        <w:rPr>
          <w:rFonts w:hint="eastAsia" w:ascii="ＭＳ 明朝" w:hAnsi="ＭＳ 明朝" w:eastAsia="ＭＳ 明朝"/>
          <w:color w:val="000000" w:themeColor="text1"/>
          <w:sz w:val="24"/>
        </w:rPr>
        <w:t>百万円（</w:t>
      </w:r>
      <w:r>
        <w:rPr>
          <w:rFonts w:hint="eastAsia" w:ascii="ＭＳ 明朝" w:hAnsi="ＭＳ 明朝" w:eastAsia="ＭＳ 明朝"/>
          <w:color w:val="000000" w:themeColor="text1"/>
          <w:sz w:val="24"/>
        </w:rPr>
        <w:t>7.8</w:t>
      </w:r>
      <w:r>
        <w:rPr>
          <w:rFonts w:hint="default" w:ascii="ＭＳ 明朝" w:hAnsi="ＭＳ 明朝" w:eastAsia="ＭＳ 明朝"/>
          <w:color w:val="000000" w:themeColor="text1"/>
          <w:sz w:val="24"/>
        </w:rPr>
        <w:t>%</w:t>
      </w:r>
      <w:r>
        <w:rPr>
          <w:rFonts w:hint="eastAsia" w:ascii="ＭＳ 明朝" w:hAnsi="ＭＳ 明朝" w:eastAsia="ＭＳ 明朝"/>
          <w:color w:val="000000" w:themeColor="text1"/>
          <w:sz w:val="24"/>
        </w:rPr>
        <w:t>）の減少、負債は約</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億</w:t>
      </w:r>
      <w:r>
        <w:rPr>
          <w:rFonts w:hint="eastAsia" w:ascii="ＭＳ 明朝" w:hAnsi="ＭＳ 明朝" w:eastAsia="ＭＳ 明朝"/>
          <w:color w:val="000000" w:themeColor="text1"/>
          <w:sz w:val="24"/>
        </w:rPr>
        <w:t>84</w:t>
      </w:r>
      <w:r>
        <w:rPr>
          <w:rFonts w:hint="eastAsia" w:ascii="ＭＳ 明朝" w:hAnsi="ＭＳ 明朝" w:eastAsia="ＭＳ 明朝"/>
          <w:color w:val="000000" w:themeColor="text1"/>
          <w:sz w:val="24"/>
        </w:rPr>
        <w:t>百万円（</w:t>
      </w:r>
      <w:r>
        <w:rPr>
          <w:rFonts w:hint="eastAsia" w:ascii="ＭＳ 明朝" w:hAnsi="ＭＳ 明朝" w:eastAsia="ＭＳ 明朝"/>
          <w:color w:val="000000" w:themeColor="text1"/>
          <w:sz w:val="24"/>
        </w:rPr>
        <w:t>6.4</w:t>
      </w:r>
      <w:r>
        <w:rPr>
          <w:rFonts w:hint="default" w:ascii="ＭＳ 明朝" w:hAnsi="ＭＳ 明朝" w:eastAsia="ＭＳ 明朝"/>
          <w:color w:val="000000" w:themeColor="text1"/>
          <w:sz w:val="24"/>
        </w:rPr>
        <w:t>%</w:t>
      </w:r>
      <w:r>
        <w:rPr>
          <w:rFonts w:hint="eastAsia" w:ascii="ＭＳ 明朝" w:hAnsi="ＭＳ 明朝" w:eastAsia="ＭＳ 明朝"/>
          <w:color w:val="000000" w:themeColor="text1"/>
          <w:sz w:val="24"/>
        </w:rPr>
        <w:t>）の増加と</w:t>
      </w:r>
      <w:r>
        <w:rPr>
          <w:rFonts w:hint="eastAsia" w:ascii="ＭＳ 明朝" w:hAnsi="ＭＳ 明朝" w:eastAsia="ＭＳ 明朝"/>
          <w:sz w:val="24"/>
        </w:rPr>
        <w:t>なりました。全体会計では資産は約</w:t>
      </w:r>
      <w:r>
        <w:rPr>
          <w:rFonts w:hint="eastAsia" w:ascii="ＭＳ 明朝" w:hAnsi="ＭＳ 明朝" w:eastAsia="ＭＳ 明朝"/>
          <w:sz w:val="24"/>
        </w:rPr>
        <w:t>8</w:t>
      </w:r>
      <w:r>
        <w:rPr>
          <w:rFonts w:hint="eastAsia" w:ascii="ＭＳ 明朝" w:hAnsi="ＭＳ 明朝" w:eastAsia="ＭＳ 明朝"/>
          <w:sz w:val="24"/>
        </w:rPr>
        <w:t>億</w:t>
      </w:r>
      <w:r>
        <w:rPr>
          <w:rFonts w:hint="eastAsia" w:ascii="ＭＳ 明朝" w:hAnsi="ＭＳ 明朝" w:eastAsia="ＭＳ 明朝"/>
          <w:sz w:val="24"/>
        </w:rPr>
        <w:t>86</w:t>
      </w:r>
      <w:r>
        <w:rPr>
          <w:rFonts w:hint="eastAsia" w:ascii="ＭＳ 明朝" w:hAnsi="ＭＳ 明朝" w:eastAsia="ＭＳ 明朝"/>
          <w:sz w:val="24"/>
        </w:rPr>
        <w:t>百万円（</w:t>
      </w:r>
      <w:r>
        <w:rPr>
          <w:rFonts w:hint="eastAsia" w:ascii="ＭＳ 明朝" w:hAnsi="ＭＳ 明朝" w:eastAsia="ＭＳ 明朝"/>
          <w:sz w:val="24"/>
        </w:rPr>
        <w:t>5.0</w:t>
      </w:r>
      <w:r>
        <w:rPr>
          <w:rFonts w:hint="eastAsia" w:ascii="ＭＳ 明朝" w:hAnsi="ＭＳ 明朝" w:eastAsia="ＭＳ 明朝"/>
          <w:sz w:val="24"/>
        </w:rPr>
        <w:t>％）の減少、純資産は</w:t>
      </w:r>
      <w:r>
        <w:rPr>
          <w:rFonts w:hint="eastAsia" w:ascii="ＭＳ 明朝" w:hAnsi="ＭＳ 明朝" w:eastAsia="ＭＳ 明朝"/>
          <w:sz w:val="24"/>
        </w:rPr>
        <w:t>10</w:t>
      </w:r>
      <w:r>
        <w:rPr>
          <w:rFonts w:hint="eastAsia" w:ascii="ＭＳ 明朝" w:hAnsi="ＭＳ 明朝" w:eastAsia="ＭＳ 明朝"/>
          <w:sz w:val="24"/>
        </w:rPr>
        <w:t>億</w:t>
      </w:r>
      <w:r>
        <w:rPr>
          <w:rFonts w:hint="eastAsia" w:ascii="ＭＳ 明朝" w:hAnsi="ＭＳ 明朝" w:eastAsia="ＭＳ 明朝"/>
          <w:sz w:val="24"/>
        </w:rPr>
        <w:t>44</w:t>
      </w:r>
      <w:r>
        <w:rPr>
          <w:rFonts w:hint="eastAsia" w:ascii="ＭＳ 明朝" w:hAnsi="ＭＳ 明朝" w:eastAsia="ＭＳ 明朝"/>
          <w:sz w:val="24"/>
        </w:rPr>
        <w:t>百万円（</w:t>
      </w:r>
      <w:r>
        <w:rPr>
          <w:rFonts w:hint="eastAsia" w:ascii="ＭＳ 明朝" w:hAnsi="ＭＳ 明朝" w:eastAsia="ＭＳ 明朝"/>
          <w:sz w:val="24"/>
        </w:rPr>
        <w:t>7.5</w:t>
      </w:r>
      <w:r>
        <w:rPr>
          <w:rFonts w:hint="default" w:ascii="ＭＳ 明朝" w:hAnsi="ＭＳ 明朝" w:eastAsia="ＭＳ 明朝"/>
          <w:sz w:val="24"/>
        </w:rPr>
        <w:t>%</w:t>
      </w:r>
      <w:r>
        <w:rPr>
          <w:rFonts w:hint="eastAsia" w:ascii="ＭＳ 明朝" w:hAnsi="ＭＳ 明朝" w:eastAsia="ＭＳ 明朝"/>
          <w:sz w:val="24"/>
        </w:rPr>
        <w:t>）の減少、負債は約</w:t>
      </w:r>
      <w:r>
        <w:rPr>
          <w:rFonts w:hint="eastAsia" w:ascii="ＭＳ 明朝" w:hAnsi="ＭＳ 明朝" w:eastAsia="ＭＳ 明朝"/>
          <w:sz w:val="24"/>
        </w:rPr>
        <w:t>1</w:t>
      </w:r>
      <w:r>
        <w:rPr>
          <w:rFonts w:hint="eastAsia" w:ascii="ＭＳ 明朝" w:hAnsi="ＭＳ 明朝" w:eastAsia="ＭＳ 明朝"/>
          <w:sz w:val="24"/>
        </w:rPr>
        <w:t>億</w:t>
      </w:r>
      <w:r>
        <w:rPr>
          <w:rFonts w:hint="eastAsia" w:ascii="ＭＳ 明朝" w:hAnsi="ＭＳ 明朝" w:eastAsia="ＭＳ 明朝"/>
          <w:sz w:val="24"/>
        </w:rPr>
        <w:t>58</w:t>
      </w:r>
      <w:r>
        <w:rPr>
          <w:rFonts w:hint="eastAsia" w:ascii="ＭＳ 明朝" w:hAnsi="ＭＳ 明朝" w:eastAsia="ＭＳ 明朝"/>
          <w:sz w:val="24"/>
        </w:rPr>
        <w:t>百万円（</w:t>
      </w:r>
      <w:r>
        <w:rPr>
          <w:rFonts w:hint="eastAsia" w:ascii="ＭＳ 明朝" w:hAnsi="ＭＳ 明朝" w:eastAsia="ＭＳ 明朝"/>
          <w:sz w:val="24"/>
        </w:rPr>
        <w:t>4.3</w:t>
      </w:r>
      <w:r>
        <w:rPr>
          <w:rFonts w:hint="default" w:ascii="ＭＳ 明朝" w:hAnsi="ＭＳ 明朝" w:eastAsia="ＭＳ 明朝"/>
          <w:sz w:val="24"/>
        </w:rPr>
        <w:t>%</w:t>
      </w:r>
      <w:r>
        <w:rPr>
          <w:rFonts w:hint="eastAsia" w:ascii="ＭＳ 明朝" w:hAnsi="ＭＳ 明朝" w:eastAsia="ＭＳ 明朝"/>
          <w:sz w:val="24"/>
        </w:rPr>
        <w:t>）の増加、連結会計では資産は約</w:t>
      </w:r>
      <w:r>
        <w:rPr>
          <w:rFonts w:hint="eastAsia" w:ascii="ＭＳ 明朝" w:hAnsi="ＭＳ 明朝" w:eastAsia="ＭＳ 明朝"/>
          <w:sz w:val="24"/>
        </w:rPr>
        <w:t>5</w:t>
      </w:r>
      <w:r>
        <w:rPr>
          <w:rFonts w:hint="eastAsia" w:ascii="ＭＳ 明朝" w:hAnsi="ＭＳ 明朝" w:eastAsia="ＭＳ 明朝"/>
          <w:sz w:val="24"/>
        </w:rPr>
        <w:t>億</w:t>
      </w:r>
      <w:r>
        <w:rPr>
          <w:rFonts w:hint="eastAsia" w:ascii="ＭＳ 明朝" w:hAnsi="ＭＳ 明朝" w:eastAsia="ＭＳ 明朝"/>
          <w:sz w:val="24"/>
        </w:rPr>
        <w:t>80</w:t>
      </w:r>
      <w:r>
        <w:rPr>
          <w:rFonts w:hint="eastAsia" w:ascii="ＭＳ 明朝" w:hAnsi="ＭＳ 明朝" w:eastAsia="ＭＳ 明朝"/>
          <w:sz w:val="24"/>
        </w:rPr>
        <w:t>百万円（</w:t>
      </w:r>
      <w:r>
        <w:rPr>
          <w:rFonts w:hint="eastAsia" w:ascii="ＭＳ 明朝" w:hAnsi="ＭＳ 明朝" w:eastAsia="ＭＳ 明朝"/>
          <w:sz w:val="24"/>
        </w:rPr>
        <w:t>3.3</w:t>
      </w:r>
      <w:r>
        <w:rPr>
          <w:rFonts w:hint="eastAsia" w:ascii="ＭＳ 明朝" w:hAnsi="ＭＳ 明朝" w:eastAsia="ＭＳ 明朝"/>
          <w:sz w:val="24"/>
        </w:rPr>
        <w:t>％）の増加、純資産は</w:t>
      </w:r>
      <w:r>
        <w:rPr>
          <w:rFonts w:hint="eastAsia" w:ascii="ＭＳ 明朝" w:hAnsi="ＭＳ 明朝" w:eastAsia="ＭＳ 明朝"/>
          <w:sz w:val="24"/>
        </w:rPr>
        <w:t>8</w:t>
      </w:r>
      <w:r>
        <w:rPr>
          <w:rFonts w:hint="eastAsia" w:ascii="ＭＳ 明朝" w:hAnsi="ＭＳ 明朝" w:eastAsia="ＭＳ 明朝"/>
          <w:sz w:val="24"/>
        </w:rPr>
        <w:t>億</w:t>
      </w:r>
      <w:r>
        <w:rPr>
          <w:rFonts w:hint="eastAsia" w:ascii="ＭＳ 明朝" w:hAnsi="ＭＳ 明朝" w:eastAsia="ＭＳ 明朝"/>
          <w:sz w:val="24"/>
        </w:rPr>
        <w:t>26</w:t>
      </w:r>
      <w:r>
        <w:rPr>
          <w:rFonts w:hint="eastAsia" w:ascii="ＭＳ 明朝" w:hAnsi="ＭＳ 明朝" w:eastAsia="ＭＳ 明朝"/>
          <w:sz w:val="24"/>
        </w:rPr>
        <w:t>百万円（</w:t>
      </w:r>
      <w:r>
        <w:rPr>
          <w:rFonts w:hint="eastAsia" w:ascii="ＭＳ 明朝" w:hAnsi="ＭＳ 明朝" w:eastAsia="ＭＳ 明朝"/>
          <w:sz w:val="24"/>
        </w:rPr>
        <w:t>6.0</w:t>
      </w:r>
      <w:r>
        <w:rPr>
          <w:rFonts w:hint="default" w:ascii="ＭＳ 明朝" w:hAnsi="ＭＳ 明朝" w:eastAsia="ＭＳ 明朝"/>
          <w:sz w:val="24"/>
        </w:rPr>
        <w:t>%</w:t>
      </w:r>
      <w:r>
        <w:rPr>
          <w:rFonts w:hint="eastAsia" w:ascii="ＭＳ 明朝" w:hAnsi="ＭＳ 明朝" w:eastAsia="ＭＳ 明朝"/>
          <w:sz w:val="24"/>
        </w:rPr>
        <w:t>）の減少、負債は約</w:t>
      </w:r>
      <w:r>
        <w:rPr>
          <w:rFonts w:hint="eastAsia" w:ascii="ＭＳ 明朝" w:hAnsi="ＭＳ 明朝" w:eastAsia="ＭＳ 明朝"/>
          <w:sz w:val="24"/>
        </w:rPr>
        <w:t>2</w:t>
      </w:r>
      <w:r>
        <w:rPr>
          <w:rFonts w:hint="eastAsia" w:ascii="ＭＳ 明朝" w:hAnsi="ＭＳ 明朝" w:eastAsia="ＭＳ 明朝"/>
          <w:sz w:val="24"/>
        </w:rPr>
        <w:t>億</w:t>
      </w:r>
      <w:r>
        <w:rPr>
          <w:rFonts w:hint="eastAsia" w:ascii="ＭＳ 明朝" w:hAnsi="ＭＳ 明朝" w:eastAsia="ＭＳ 明朝"/>
          <w:sz w:val="24"/>
        </w:rPr>
        <w:t>46</w:t>
      </w:r>
      <w:r>
        <w:rPr>
          <w:rFonts w:hint="eastAsia" w:ascii="ＭＳ 明朝" w:hAnsi="ＭＳ 明朝" w:eastAsia="ＭＳ 明朝"/>
          <w:sz w:val="24"/>
        </w:rPr>
        <w:t>百万円（</w:t>
      </w:r>
      <w:r>
        <w:rPr>
          <w:rFonts w:hint="eastAsia" w:ascii="ＭＳ 明朝" w:hAnsi="ＭＳ 明朝" w:eastAsia="ＭＳ 明朝"/>
          <w:sz w:val="24"/>
        </w:rPr>
        <w:t>6.7</w:t>
      </w:r>
      <w:r>
        <w:rPr>
          <w:rFonts w:hint="default" w:ascii="ＭＳ 明朝" w:hAnsi="ＭＳ 明朝" w:eastAsia="ＭＳ 明朝"/>
          <w:sz w:val="24"/>
        </w:rPr>
        <w:t>%</w:t>
      </w:r>
      <w:r>
        <w:rPr>
          <w:rFonts w:hint="eastAsia" w:ascii="ＭＳ 明朝" w:hAnsi="ＭＳ 明朝" w:eastAsia="ＭＳ 明朝"/>
          <w:sz w:val="24"/>
        </w:rPr>
        <w:t>）の増加となっています。</w:t>
      </w:r>
    </w:p>
    <w:p>
      <w:pPr>
        <w:pStyle w:val="0"/>
        <w:ind w:firstLine="240" w:firstLineChars="10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15"/>
        <w:numPr>
          <w:ilvl w:val="0"/>
          <w:numId w:val="1"/>
        </w:numPr>
        <w:ind w:leftChars="0"/>
        <w:rPr>
          <w:rFonts w:hint="default" w:ascii="ＭＳ 明朝" w:hAnsi="ＭＳ 明朝" w:eastAsia="ＭＳ 明朝"/>
          <w:sz w:val="24"/>
        </w:rPr>
      </w:pPr>
      <w:r>
        <w:rPr>
          <w:rFonts w:hint="eastAsia" w:ascii="メイリオ" w:hAnsi="メイリオ" w:eastAsia="メイリオ"/>
          <w:kern w:val="0"/>
          <w:sz w:val="24"/>
        </w:rPr>
        <w:t>令和元年度占冠村における資産の状況（一般会計等）</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ここでは、占冠村が保有している資産状況についてみていきますが、単に占冠村の実態把握だけでなく、他団体との比較も行います。</w:t>
      </w:r>
    </w:p>
    <w:p>
      <w:pPr>
        <w:pStyle w:val="0"/>
        <w:rPr>
          <w:rFonts w:hint="default" w:ascii="ＭＳ 明朝" w:hAnsi="ＭＳ 明朝" w:eastAsia="ＭＳ 明朝"/>
          <w:sz w:val="24"/>
        </w:rPr>
      </w:pPr>
    </w:p>
    <w:p>
      <w:pPr>
        <w:pStyle w:val="0"/>
        <w:rPr>
          <w:rFonts w:hint="default" w:ascii="メイリオ" w:hAnsi="メイリオ" w:eastAsia="メイリオ"/>
          <w:kern w:val="0"/>
          <w:sz w:val="24"/>
        </w:rPr>
      </w:pPr>
      <w:r>
        <w:rPr>
          <w:rFonts w:hint="eastAsia" w:ascii="メイリオ" w:hAnsi="メイリオ" w:eastAsia="メイリオ"/>
          <w:kern w:val="0"/>
          <w:sz w:val="24"/>
        </w:rPr>
        <w:t>イ）資産の構成割合</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これまでの住民ニーズに対応した行政需要により、どのような資産が構成されたのかを計るとともに、他団体との比較により、占冠村における資産形成の特徴が把握可能となります。</w:t>
      </w: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占冠村における資産の構成を見ると、事業用資産が</w:t>
      </w:r>
      <w:r>
        <w:rPr>
          <w:rFonts w:hint="eastAsia" w:ascii="ＭＳ 明朝" w:hAnsi="ＭＳ 明朝" w:eastAsia="ＭＳ 明朝"/>
          <w:color w:val="000000" w:themeColor="text1"/>
          <w:sz w:val="24"/>
        </w:rPr>
        <w:t>55.5%</w:t>
      </w:r>
      <w:r>
        <w:rPr>
          <w:rFonts w:hint="eastAsia" w:ascii="ＭＳ 明朝" w:hAnsi="ＭＳ 明朝" w:eastAsia="ＭＳ 明朝"/>
          <w:color w:val="000000" w:themeColor="text1"/>
          <w:sz w:val="24"/>
        </w:rPr>
        <w:t>、インフラ資産が</w:t>
      </w:r>
      <w:r>
        <w:rPr>
          <w:rFonts w:hint="eastAsia" w:ascii="ＭＳ 明朝" w:hAnsi="ＭＳ 明朝" w:eastAsia="ＭＳ 明朝"/>
          <w:color w:val="000000" w:themeColor="text1"/>
          <w:sz w:val="24"/>
        </w:rPr>
        <w:t>36.2%</w:t>
      </w:r>
      <w:r>
        <w:rPr>
          <w:rFonts w:hint="eastAsia" w:ascii="ＭＳ 明朝" w:hAnsi="ＭＳ 明朝" w:eastAsia="ＭＳ 明朝"/>
          <w:color w:val="000000" w:themeColor="text1"/>
          <w:sz w:val="24"/>
        </w:rPr>
        <w:t>となっており、前年度と比較して事業用資産が</w:t>
      </w:r>
      <w:r>
        <w:rPr>
          <w:rFonts w:hint="eastAsia" w:ascii="ＭＳ 明朝" w:hAnsi="ＭＳ 明朝" w:eastAsia="ＭＳ 明朝"/>
          <w:color w:val="000000" w:themeColor="text1"/>
          <w:sz w:val="24"/>
        </w:rPr>
        <w:t>0.4</w:t>
      </w:r>
      <w:r>
        <w:rPr>
          <w:rFonts w:hint="eastAsia" w:ascii="ＭＳ 明朝" w:hAnsi="ＭＳ 明朝" w:eastAsia="ＭＳ 明朝"/>
          <w:color w:val="000000" w:themeColor="text1"/>
          <w:sz w:val="24"/>
        </w:rPr>
        <w:t>ポイント増加、インフラ資産は</w:t>
      </w:r>
      <w:r>
        <w:rPr>
          <w:rFonts w:hint="eastAsia" w:ascii="ＭＳ 明朝" w:hAnsi="ＭＳ 明朝" w:eastAsia="ＭＳ 明朝"/>
          <w:color w:val="000000" w:themeColor="text1"/>
          <w:sz w:val="24"/>
        </w:rPr>
        <w:t>0.9</w:t>
      </w:r>
      <w:r>
        <w:rPr>
          <w:rFonts w:hint="eastAsia" w:ascii="ＭＳ 明朝" w:hAnsi="ＭＳ 明朝" w:eastAsia="ＭＳ 明朝"/>
          <w:color w:val="000000" w:themeColor="text1"/>
          <w:sz w:val="24"/>
        </w:rPr>
        <w:t>ポイント増加しています。増加は公共施設の投資、減少は減価償却に伴う資産の老朽化が要因です。</w:t>
      </w:r>
    </w:p>
    <w:p>
      <w:pPr>
        <w:pStyle w:val="0"/>
        <w:ind w:firstLine="240" w:firstLineChars="100"/>
        <w:rPr>
          <w:rFonts w:hint="default" w:ascii="ＭＳ 明朝" w:hAnsi="ＭＳ 明朝" w:eastAsia="ＭＳ 明朝"/>
          <w:color w:val="000000" w:themeColor="text1"/>
          <w:sz w:val="24"/>
        </w:rPr>
      </w:pPr>
    </w:p>
    <w:p>
      <w:pPr>
        <w:pStyle w:val="0"/>
        <w:spacing w:line="0" w:lineRule="atLeast"/>
        <w:rPr>
          <w:rFonts w:hint="default" w:ascii="HGP創英角ｺﾞｼｯｸUB" w:hAnsi="HGP創英角ｺﾞｼｯｸUB" w:eastAsia="HGP創英角ｺﾞｼｯｸUB"/>
          <w:color w:val="003399"/>
          <w:kern w:val="0"/>
          <w:sz w:val="24"/>
        </w:rPr>
      </w:pPr>
      <w:r>
        <w:rPr>
          <w:rFonts w:hint="eastAsia" w:ascii="HGP創英角ｺﾞｼｯｸUB" w:hAnsi="HGP創英角ｺﾞｼｯｸUB" w:eastAsia="HGP創英角ｺﾞｼｯｸUB"/>
          <w:color w:val="003399"/>
          <w:kern w:val="0"/>
          <w:sz w:val="24"/>
        </w:rPr>
        <w:t>■資産の構成割合と他団体比較　</w:t>
      </w:r>
    </w:p>
    <w:p>
      <w:pPr>
        <w:pStyle w:val="0"/>
        <w:spacing w:line="0" w:lineRule="atLeast"/>
        <w:rPr>
          <w:rFonts w:hint="default" w:asciiTheme="majorEastAsia" w:hAnsiTheme="majorEastAsia" w:eastAsiaTheme="majorEastAsia"/>
          <w:color w:val="000000" w:themeColor="text1"/>
          <w:kern w:val="0"/>
          <w:sz w:val="22"/>
        </w:rPr>
      </w:pPr>
      <w:r>
        <w:rPr>
          <w:rFonts w:hint="eastAsia" w:ascii="HGP創英角ｺﾞｼｯｸUB" w:hAnsi="HGP創英角ｺﾞｼｯｸUB" w:eastAsia="HGP創英角ｺﾞｼｯｸUB"/>
          <w:color w:val="003399"/>
          <w:kern w:val="0"/>
          <w:sz w:val="24"/>
        </w:rPr>
        <w:t>　</w:t>
      </w:r>
      <w:r>
        <w:rPr>
          <w:rFonts w:hint="eastAsia" w:asciiTheme="majorEastAsia" w:hAnsiTheme="majorEastAsia" w:eastAsiaTheme="majorEastAsia"/>
          <w:color w:val="000000" w:themeColor="text1"/>
          <w:kern w:val="0"/>
          <w:sz w:val="22"/>
        </w:rPr>
        <w:t>※（一社）地方公会計</w:t>
      </w:r>
      <w:r>
        <w:rPr>
          <w:rFonts w:hint="default" w:asciiTheme="majorEastAsia" w:hAnsiTheme="majorEastAsia" w:eastAsiaTheme="majorEastAsia"/>
          <w:color w:val="000000" w:themeColor="text1"/>
          <w:kern w:val="0"/>
          <w:sz w:val="22"/>
        </w:rPr>
        <w:t>研究センター調</w:t>
      </w:r>
      <w:r>
        <w:rPr>
          <w:rFonts w:hint="eastAsia" w:asciiTheme="majorEastAsia" w:hAnsiTheme="majorEastAsia" w:eastAsiaTheme="majorEastAsia"/>
          <w:color w:val="000000" w:themeColor="text1"/>
          <w:kern w:val="0"/>
          <w:sz w:val="22"/>
        </w:rPr>
        <w:t>（平成</w:t>
      </w:r>
      <w:r>
        <w:rPr>
          <w:rFonts w:hint="eastAsia" w:asciiTheme="majorEastAsia" w:hAnsiTheme="majorEastAsia" w:eastAsiaTheme="majorEastAsia"/>
          <w:color w:val="000000" w:themeColor="text1"/>
          <w:kern w:val="0"/>
          <w:sz w:val="22"/>
        </w:rPr>
        <w:t>30</w:t>
      </w:r>
      <w:r>
        <w:rPr>
          <w:rFonts w:hint="default" w:asciiTheme="majorEastAsia" w:hAnsiTheme="majorEastAsia" w:eastAsiaTheme="majorEastAsia"/>
          <w:color w:val="000000" w:themeColor="text1"/>
          <w:kern w:val="0"/>
          <w:sz w:val="22"/>
        </w:rPr>
        <w:t>年度）</w:t>
      </w:r>
      <w:r>
        <w:rPr>
          <w:rFonts w:hint="eastAsia" w:asciiTheme="majorEastAsia" w:hAnsiTheme="majorEastAsia" w:eastAsiaTheme="majorEastAsia"/>
          <w:color w:val="000000" w:themeColor="text1"/>
          <w:kern w:val="0"/>
          <w:sz w:val="22"/>
        </w:rPr>
        <w:t>北海道内人口規模別平均</w:t>
      </w:r>
    </w:p>
    <w:p>
      <w:pPr>
        <w:pStyle w:val="0"/>
        <w:spacing w:line="0" w:lineRule="atLeast"/>
        <w:jc w:val="center"/>
        <w:rPr>
          <w:rFonts w:hint="default" w:asciiTheme="majorEastAsia" w:hAnsiTheme="majorEastAsia" w:eastAsiaTheme="majorEastAsia"/>
          <w:color w:val="003399"/>
          <w:kern w:val="0"/>
          <w:sz w:val="24"/>
        </w:rPr>
      </w:pPr>
      <w:r>
        <w:rPr>
          <w:rFonts w:hint="default"/>
        </w:rPr>
        <w:drawing>
          <wp:inline distT="0" distB="0" distL="0" distR="0">
            <wp:extent cx="6192520" cy="3035935"/>
            <wp:effectExtent l="0" t="0" r="0" b="0"/>
            <wp:docPr id="1042" name="Picture 7"/>
            <a:graphic xmlns:a="http://schemas.openxmlformats.org/drawingml/2006/main">
              <a:graphicData uri="http://schemas.openxmlformats.org/drawingml/2006/picture">
                <pic:pic xmlns:pic="http://schemas.openxmlformats.org/drawingml/2006/picture">
                  <pic:nvPicPr>
                    <pic:cNvPr id="1042" name="Picture 7"/>
                    <pic:cNvPicPr>
                      <a:picLocks noChangeAspect="1" noChangeArrowheads="1"/>
                    </pic:cNvPicPr>
                  </pic:nvPicPr>
                  <pic:blipFill>
                    <a:blip r:embed="rId12"/>
                    <a:stretch>
                      <a:fillRect/>
                    </a:stretch>
                  </pic:blipFill>
                  <pic:spPr>
                    <a:xfrm>
                      <a:off x="0" y="0"/>
                      <a:ext cx="6192520" cy="3035935"/>
                    </a:xfrm>
                    <a:prstGeom prst="rect">
                      <a:avLst/>
                    </a:prstGeom>
                    <a:noFill/>
                    <a:ln>
                      <a:noFill/>
                    </a:ln>
                  </pic:spPr>
                </pic:pic>
              </a:graphicData>
            </a:graphic>
          </wp:inline>
        </w:drawing>
      </w:r>
      <w:r>
        <w:rPr>
          <w:rFonts w:hint="default"/>
        </w:rPr>
        <w:t xml:space="preserve"> </w:t>
      </w:r>
      <w:r>
        <w:rPr>
          <w:rFonts w:hint="default" w:asciiTheme="minorEastAsia" w:hAnsiTheme="minorEastAsia"/>
          <w:kern w:val="0"/>
          <w:sz w:val="24"/>
        </w:rPr>
        <w:br w:type="page"/>
      </w: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MS UI Gothic" w:hAnsi="MS UI Gothic" w:eastAsia="MS UI Gothic"/>
          <w:kern w:val="0"/>
          <w:sz w:val="24"/>
        </w:rPr>
      </w:pPr>
      <w:r>
        <w:rPr>
          <w:rFonts w:hint="eastAsia" w:ascii="MS UI Gothic" w:hAnsi="MS UI Gothic" w:eastAsia="MS UI Gothic"/>
          <w:kern w:val="0"/>
          <w:sz w:val="24"/>
        </w:rPr>
        <w:t>【参考：地方公会計における資産】</w:t>
      </w: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MS UI Gothic" w:hAnsi="MS UI Gothic" w:eastAsia="MS UI Gothic"/>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MS UI Gothic" w:hAnsi="MS UI Gothic" w:eastAsia="MS UI Gothic"/>
          <w:sz w:val="24"/>
        </w:rPr>
      </w:pPr>
      <w:r>
        <w:rPr>
          <w:rFonts w:hint="eastAsia" w:ascii="MS UI Gothic" w:hAnsi="MS UI Gothic" w:eastAsia="MS UI Gothic"/>
          <w:sz w:val="24"/>
        </w:rPr>
        <w:t>■資産の定義</w:t>
      </w: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ind w:firstLine="240" w:firstLineChars="100"/>
        <w:rPr>
          <w:rFonts w:hint="default" w:ascii="MS UI Gothic" w:hAnsi="MS UI Gothic" w:eastAsia="MS UI Gothic"/>
          <w:sz w:val="24"/>
        </w:rPr>
      </w:pPr>
      <w:r>
        <w:rPr>
          <w:rFonts w:hint="eastAsia" w:ascii="MS UI Gothic" w:hAnsi="MS UI Gothic" w:eastAsia="MS UI Gothic"/>
          <w:sz w:val="24"/>
        </w:rPr>
        <w:t>地方公会計制度における</w:t>
      </w:r>
      <w:r>
        <w:rPr>
          <w:rFonts w:hint="default" w:ascii="MS UI Gothic" w:hAnsi="MS UI Gothic" w:eastAsia="MS UI Gothic"/>
          <w:sz w:val="24"/>
        </w:rPr>
        <w:t>資産とは、</w:t>
      </w:r>
      <w:r>
        <w:rPr>
          <w:rFonts w:hint="eastAsia" w:ascii="MS UI Gothic" w:hAnsi="MS UI Gothic" w:eastAsia="MS UI Gothic"/>
          <w:sz w:val="24"/>
        </w:rPr>
        <w:t>「過去の事象の結果として、特定の会計主体が支配するものであって、将来の経済的便益が当該会計主体に流入すると期待される資源、または当該会計主体の目的に直接もしくは間接的に資する潜在的なサービス提供能力を伴うものをいう。」としています。</w:t>
      </w: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MS UI Gothic" w:hAnsi="MS UI Gothic" w:eastAsia="MS UI Gothic"/>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MS UI Gothic" w:hAnsi="MS UI Gothic" w:eastAsia="MS UI Gothic"/>
          <w:kern w:val="0"/>
          <w:sz w:val="24"/>
        </w:rPr>
      </w:pPr>
      <w:r>
        <w:rPr>
          <w:rFonts w:hint="eastAsia" w:ascii="MS UI Gothic" w:hAnsi="MS UI Gothic" w:eastAsia="MS UI Gothic"/>
          <w:kern w:val="0"/>
          <w:sz w:val="24"/>
        </w:rPr>
        <w:t>■固定資産の体系</w:t>
      </w: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ind w:firstLine="240" w:firstLineChars="100"/>
        <w:rPr>
          <w:rFonts w:hint="default" w:ascii="MS UI Gothic" w:hAnsi="MS UI Gothic" w:eastAsia="MS UI Gothic"/>
          <w:kern w:val="0"/>
          <w:sz w:val="24"/>
        </w:rPr>
      </w:pPr>
      <w:r>
        <w:rPr>
          <w:rFonts w:hint="eastAsia" w:ascii="MS UI Gothic" w:hAnsi="MS UI Gothic" w:eastAsia="MS UI Gothic"/>
          <w:kern w:val="0"/>
          <w:sz w:val="24"/>
        </w:rPr>
        <w:t>固定資産は有形固定資産、無形固定資産、投資その他の資産の３つに分類され、それぞれ固定資産台帳の整備が求められています。</w:t>
      </w: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r>
        <w:rPr>
          <w:rFonts w:hint="eastAsia" w:asciiTheme="minorEastAsia" w:hAnsiTheme="minorEastAsia"/>
          <w:kern w:val="0"/>
          <w:sz w:val="24"/>
        </w:rPr>
        <mc:AlternateContent>
          <mc:Choice Requires="wpc">
            <w:drawing>
              <wp:anchor distT="0" distB="0" distL="114300" distR="114300" simplePos="0" relativeHeight="2" behindDoc="0" locked="0" layoutInCell="1" hidden="0" allowOverlap="1">
                <wp:simplePos x="0" y="0"/>
                <wp:positionH relativeFrom="margin">
                  <wp:posOffset>-635</wp:posOffset>
                </wp:positionH>
                <wp:positionV relativeFrom="paragraph">
                  <wp:posOffset>46355</wp:posOffset>
                </wp:positionV>
                <wp:extent cx="6120130" cy="3496310"/>
                <wp:effectExtent l="0" t="0" r="635" b="635"/>
                <wp:wrapNone/>
                <wp:docPr id="1044" name="キャンバス 43"/>
                <a:graphic xmlns:a="http://schemas.openxmlformats.org/drawingml/2006/main">
                  <a:graphicData uri="http://schemas.microsoft.com/office/word/2010/wordprocessingCanvas">
                    <wpc:wpc>
                      <wpc:bg>
                        <a:noFill/>
                      </wpc:bg>
                      <wpc:whole>
                        <a:ln>
                          <a:noFill/>
                        </a:ln>
                      </wpc:whole>
                      <wps:wsp>
                        <wps:cNvPr id="1045" name="Text Box 4"/>
                        <wps:cNvSpPr txBox="1">
                          <a:spLocks noChangeArrowheads="1"/>
                        </wps:cNvSpPr>
                        <wps:spPr>
                          <a:xfrm>
                            <a:off x="321945" y="989330"/>
                            <a:ext cx="389890" cy="1014095"/>
                          </a:xfrm>
                          <a:prstGeom prst="rect">
                            <a:avLst/>
                          </a:prstGeom>
                          <a:gradFill rotWithShape="0">
                            <a:gsLst>
                              <a:gs pos="0">
                                <a:srgbClr val="95B3D7"/>
                              </a:gs>
                              <a:gs pos="50000">
                                <a:srgbClr val="4F81BD"/>
                              </a:gs>
                              <a:gs pos="100000">
                                <a:srgbClr val="95B3D7"/>
                              </a:gs>
                            </a:gsLst>
                            <a:lin ang="5400000" scaled="1"/>
                            <a:tileRect/>
                          </a:gradFill>
                          <a:ln w="12700">
                            <a:solidFill>
                              <a:srgbClr val="4F81BD"/>
                            </a:solidFill>
                            <a:miter lim="800000"/>
                            <a:headEnd/>
                            <a:tailEnd/>
                          </a:ln>
                          <a:effectLst>
                            <a:outerShdw dist="28398" dir="3806097" algn="ctr" rotWithShape="0">
                              <a:srgbClr val="243F60"/>
                            </a:outerShdw>
                          </a:effectLst>
                        </wps:spPr>
                        <wps:txbx>
                          <w:txbxContent>
                            <w:p>
                              <w:pPr>
                                <w:pStyle w:val="0"/>
                                <w:jc w:val="center"/>
                                <w:rPr>
                                  <w:rFonts w:hint="default" w:ascii="ＭＳ ゴシック" w:hAnsi="ＭＳ ゴシック" w:eastAsia="ＭＳ ゴシック"/>
                                  <w:b w:val="1"/>
                                  <w:color w:val="FFFFFF"/>
                                  <w:sz w:val="24"/>
                                </w:rPr>
                              </w:pPr>
                              <w:r>
                                <w:rPr>
                                  <w:rFonts w:hint="eastAsia" w:ascii="ＭＳ ゴシック" w:hAnsi="ＭＳ ゴシック" w:eastAsia="ＭＳ ゴシック"/>
                                  <w:b w:val="1"/>
                                  <w:color w:val="FFFFFF"/>
                                  <w:sz w:val="24"/>
                                </w:rPr>
                                <w:t>固定資産</w:t>
                              </w:r>
                            </w:p>
                          </w:txbxContent>
                        </wps:txbx>
                        <wps:bodyPr rot="0" vertOverflow="overflow" horzOverflow="overflow" vert="eaVert" wrap="square" lIns="74295" tIns="8890" rIns="74295" bIns="8890" anchor="t" anchorCtr="0" upright="1">
                          <a:spAutoFit/>
                        </wps:bodyPr>
                      </wps:wsp>
                      <wps:wsp>
                        <wps:cNvPr id="1046" name="Text Box 5"/>
                        <wps:cNvSpPr txBox="1">
                          <a:spLocks noChangeArrowheads="1"/>
                        </wps:cNvSpPr>
                        <wps:spPr>
                          <a:xfrm>
                            <a:off x="1279525" y="608965"/>
                            <a:ext cx="1339215" cy="233680"/>
                          </a:xfrm>
                          <a:prstGeom prst="rect">
                            <a:avLst/>
                          </a:prstGeom>
                          <a:gradFill rotWithShape="0">
                            <a:gsLst>
                              <a:gs pos="0">
                                <a:srgbClr val="FABF8F"/>
                              </a:gs>
                              <a:gs pos="50000">
                                <a:srgbClr val="F79646"/>
                              </a:gs>
                              <a:gs pos="100000">
                                <a:srgbClr val="FABF8F"/>
                              </a:gs>
                            </a:gsLst>
                            <a:lin ang="5400000" scaled="1"/>
                            <a:tileRect/>
                          </a:gradFill>
                          <a:ln w="12700">
                            <a:solidFill>
                              <a:srgbClr val="F79646"/>
                            </a:solidFill>
                            <a:miter lim="800000"/>
                            <a:headEnd/>
                            <a:tailEnd/>
                          </a:ln>
                          <a:effectLst>
                            <a:outerShdw dist="28398" dir="3806097" algn="ctr" rotWithShape="0">
                              <a:srgbClr val="974706"/>
                            </a:outerShdw>
                          </a:effectLst>
                        </wps:spPr>
                        <wps:txbx>
                          <w:txbxContent>
                            <w:p>
                              <w:pPr>
                                <w:pStyle w:val="0"/>
                                <w:jc w:val="center"/>
                                <w:rPr>
                                  <w:rFonts w:hint="default" w:ascii="ＭＳ ゴシック" w:hAnsi="ＭＳ ゴシック" w:eastAsia="ＭＳ ゴシック"/>
                                  <w:b w:val="1"/>
                                  <w:color w:val="FFFFFF"/>
                                </w:rPr>
                              </w:pPr>
                              <w:r>
                                <w:rPr>
                                  <w:rFonts w:hint="eastAsia" w:ascii="ＭＳ ゴシック" w:hAnsi="ＭＳ ゴシック" w:eastAsia="ＭＳ ゴシック"/>
                                  <w:b w:val="1"/>
                                  <w:color w:val="FFFFFF"/>
                                </w:rPr>
                                <w:t>有形固定資産</w:t>
                              </w:r>
                            </w:p>
                          </w:txbxContent>
                        </wps:txbx>
                        <wps:bodyPr rot="0" vertOverflow="overflow" horzOverflow="overflow" wrap="square" lIns="74295" tIns="8890" rIns="74295" bIns="8890" anchor="t" anchorCtr="0" upright="1"/>
                      </wps:wsp>
                      <wps:wsp>
                        <wps:cNvPr id="1047" name="Text Box 6"/>
                        <wps:cNvSpPr txBox="1">
                          <a:spLocks noChangeArrowheads="1"/>
                        </wps:cNvSpPr>
                        <wps:spPr>
                          <a:xfrm>
                            <a:off x="3348990" y="240665"/>
                            <a:ext cx="1338580" cy="235585"/>
                          </a:xfrm>
                          <a:prstGeom prst="rect">
                            <a:avLst/>
                          </a:prstGeom>
                          <a:gradFill rotWithShape="0">
                            <a:gsLst>
                              <a:gs pos="0">
                                <a:srgbClr val="FABF8F"/>
                              </a:gs>
                              <a:gs pos="50000">
                                <a:srgbClr val="FDE9D9"/>
                              </a:gs>
                              <a:gs pos="100000">
                                <a:srgbClr val="FABF8F"/>
                              </a:gs>
                            </a:gsLst>
                            <a:lin ang="18900000" scaled="1"/>
                            <a:tileRect/>
                          </a:gradFill>
                          <a:ln w="12700">
                            <a:solidFill>
                              <a:srgbClr val="FABF8F"/>
                            </a:solidFill>
                            <a:miter lim="800000"/>
                            <a:headEnd/>
                            <a:tailEnd/>
                          </a:ln>
                          <a:effectLst>
                            <a:outerShdw dist="28398" dir="3806097" algn="ctr" rotWithShape="0">
                              <a:srgbClr val="974706">
                                <a:alpha val="50000"/>
                              </a:srgbClr>
                            </a:outerShdw>
                          </a:effectLst>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事業用資産</w:t>
                              </w:r>
                            </w:p>
                          </w:txbxContent>
                        </wps:txbx>
                        <wps:bodyPr rot="0" vertOverflow="overflow" horzOverflow="overflow" wrap="square" lIns="74295" tIns="8890" rIns="74295" bIns="8890" anchor="t" anchorCtr="0" upright="1"/>
                      </wps:wsp>
                      <wps:wsp>
                        <wps:cNvPr id="1048" name="Text Box 7"/>
                        <wps:cNvSpPr txBox="1">
                          <a:spLocks noChangeArrowheads="1"/>
                        </wps:cNvSpPr>
                        <wps:spPr>
                          <a:xfrm>
                            <a:off x="3348990" y="607060"/>
                            <a:ext cx="1338580" cy="234315"/>
                          </a:xfrm>
                          <a:prstGeom prst="rect">
                            <a:avLst/>
                          </a:prstGeom>
                          <a:gradFill rotWithShape="0">
                            <a:gsLst>
                              <a:gs pos="0">
                                <a:srgbClr val="FABF8F"/>
                              </a:gs>
                              <a:gs pos="50000">
                                <a:srgbClr val="FDE9D9"/>
                              </a:gs>
                              <a:gs pos="100000">
                                <a:srgbClr val="FABF8F"/>
                              </a:gs>
                            </a:gsLst>
                            <a:lin ang="18900000" scaled="1"/>
                            <a:tileRect/>
                          </a:gradFill>
                          <a:ln w="12700">
                            <a:solidFill>
                              <a:srgbClr val="FABF8F"/>
                            </a:solidFill>
                            <a:miter lim="800000"/>
                            <a:headEnd/>
                            <a:tailEnd/>
                          </a:ln>
                          <a:effectLst>
                            <a:outerShdw dist="28398" dir="3806097" algn="ctr" rotWithShape="0">
                              <a:srgbClr val="974706">
                                <a:alpha val="50000"/>
                              </a:srgbClr>
                            </a:outerShdw>
                          </a:effectLst>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インフラ資産</w:t>
                              </w:r>
                            </w:p>
                          </w:txbxContent>
                        </wps:txbx>
                        <wps:bodyPr rot="0" vertOverflow="overflow" horzOverflow="overflow" wrap="square" lIns="74295" tIns="8890" rIns="74295" bIns="8890" anchor="t" anchorCtr="0" upright="1"/>
                      </wps:wsp>
                      <wps:wsp>
                        <wps:cNvPr id="1049" name="Text Box 8"/>
                        <wps:cNvSpPr txBox="1">
                          <a:spLocks noChangeArrowheads="1"/>
                        </wps:cNvSpPr>
                        <wps:spPr>
                          <a:xfrm>
                            <a:off x="3348990" y="972185"/>
                            <a:ext cx="1338580" cy="234950"/>
                          </a:xfrm>
                          <a:prstGeom prst="rect">
                            <a:avLst/>
                          </a:prstGeom>
                          <a:gradFill rotWithShape="0">
                            <a:gsLst>
                              <a:gs pos="0">
                                <a:srgbClr val="FABF8F"/>
                              </a:gs>
                              <a:gs pos="50000">
                                <a:srgbClr val="FDE9D9"/>
                              </a:gs>
                              <a:gs pos="100000">
                                <a:srgbClr val="FABF8F"/>
                              </a:gs>
                            </a:gsLst>
                            <a:lin ang="18900000" scaled="1"/>
                            <a:tileRect/>
                          </a:gradFill>
                          <a:ln w="12700">
                            <a:solidFill>
                              <a:srgbClr val="FABF8F"/>
                            </a:solidFill>
                            <a:miter lim="800000"/>
                            <a:headEnd/>
                            <a:tailEnd/>
                          </a:ln>
                          <a:effectLst>
                            <a:outerShdw dist="28398" dir="3806097" algn="ctr" rotWithShape="0">
                              <a:srgbClr val="974706">
                                <a:alpha val="50000"/>
                              </a:srgbClr>
                            </a:outerShdw>
                          </a:effectLst>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物　品</w:t>
                              </w:r>
                            </w:p>
                          </w:txbxContent>
                        </wps:txbx>
                        <wps:bodyPr rot="0" vertOverflow="overflow" horzOverflow="overflow" wrap="square" lIns="74295" tIns="8890" rIns="74295" bIns="8890" anchor="t" anchorCtr="0" upright="1"/>
                      </wps:wsp>
                      <wps:wsp>
                        <wps:cNvPr id="1050" name="Text Box 9"/>
                        <wps:cNvSpPr txBox="1">
                          <a:spLocks noChangeArrowheads="1"/>
                        </wps:cNvSpPr>
                        <wps:spPr>
                          <a:xfrm>
                            <a:off x="1279525" y="1374775"/>
                            <a:ext cx="1339850" cy="233680"/>
                          </a:xfrm>
                          <a:prstGeom prst="rect">
                            <a:avLst/>
                          </a:prstGeom>
                          <a:gradFill rotWithShape="0">
                            <a:gsLst>
                              <a:gs pos="0">
                                <a:srgbClr val="92CDDC"/>
                              </a:gs>
                              <a:gs pos="50000">
                                <a:srgbClr val="4BACC6"/>
                              </a:gs>
                              <a:gs pos="100000">
                                <a:srgbClr val="92CDDC"/>
                              </a:gs>
                            </a:gsLst>
                            <a:lin ang="5400000" scaled="1"/>
                            <a:tileRect/>
                          </a:gradFill>
                          <a:ln w="12700">
                            <a:solidFill>
                              <a:srgbClr val="4BACC6"/>
                            </a:solidFill>
                            <a:miter lim="800000"/>
                            <a:headEnd/>
                            <a:tailEnd/>
                          </a:ln>
                          <a:effectLst>
                            <a:outerShdw dist="28398" dir="3806097" algn="ctr" rotWithShape="0">
                              <a:srgbClr val="205867"/>
                            </a:outerShdw>
                          </a:effectLst>
                        </wps:spPr>
                        <wps:txbx>
                          <w:txbxContent>
                            <w:p>
                              <w:pPr>
                                <w:pStyle w:val="0"/>
                                <w:jc w:val="center"/>
                                <w:rPr>
                                  <w:rFonts w:hint="default" w:ascii="ＭＳ ゴシック" w:hAnsi="ＭＳ ゴシック" w:eastAsia="ＭＳ ゴシック"/>
                                  <w:b w:val="1"/>
                                  <w:color w:val="FFFFFF"/>
                                </w:rPr>
                              </w:pPr>
                              <w:r>
                                <w:rPr>
                                  <w:rFonts w:hint="eastAsia" w:ascii="ＭＳ ゴシック" w:hAnsi="ＭＳ ゴシック" w:eastAsia="ＭＳ ゴシック"/>
                                  <w:b w:val="1"/>
                                  <w:color w:val="FFFFFF"/>
                                </w:rPr>
                                <w:t>無形固定資産</w:t>
                              </w:r>
                            </w:p>
                          </w:txbxContent>
                        </wps:txbx>
                        <wps:bodyPr rot="0" vertOverflow="overflow" horzOverflow="overflow" wrap="square" lIns="74295" tIns="8890" rIns="74295" bIns="8890" anchor="t" anchorCtr="0" upright="1"/>
                      </wps:wsp>
                      <wps:wsp>
                        <wps:cNvPr id="1051" name="Text Box 10"/>
                        <wps:cNvSpPr txBox="1">
                          <a:spLocks noChangeArrowheads="1"/>
                        </wps:cNvSpPr>
                        <wps:spPr>
                          <a:xfrm>
                            <a:off x="3348990" y="1375410"/>
                            <a:ext cx="1338580" cy="233680"/>
                          </a:xfrm>
                          <a:prstGeom prst="rect">
                            <a:avLst/>
                          </a:prstGeom>
                          <a:gradFill rotWithShape="0">
                            <a:gsLst>
                              <a:gs pos="0">
                                <a:srgbClr val="92CDDC"/>
                              </a:gs>
                              <a:gs pos="50000">
                                <a:srgbClr val="DAEEF3"/>
                              </a:gs>
                              <a:gs pos="100000">
                                <a:srgbClr val="92CDDC"/>
                              </a:gs>
                            </a:gsLst>
                            <a:lin ang="18900000" scaled="1"/>
                            <a:tileRect/>
                          </a:gradFill>
                          <a:ln w="12700">
                            <a:solidFill>
                              <a:srgbClr val="92CDDC"/>
                            </a:solidFill>
                            <a:miter lim="800000"/>
                            <a:headEnd/>
                            <a:tailEnd/>
                          </a:ln>
                          <a:effectLst>
                            <a:outerShdw dist="28398" dir="3806097" algn="ctr" rotWithShape="0">
                              <a:srgbClr val="205867">
                                <a:alpha val="50000"/>
                              </a:srgbClr>
                            </a:outerShdw>
                          </a:effectLst>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ソフトウェア</w:t>
                              </w:r>
                            </w:p>
                          </w:txbxContent>
                        </wps:txbx>
                        <wps:bodyPr rot="0" vertOverflow="overflow" horzOverflow="overflow" wrap="square" lIns="74295" tIns="8890" rIns="74295" bIns="8890" anchor="t" anchorCtr="0" upright="1"/>
                      </wps:wsp>
                      <wps:wsp>
                        <wps:cNvPr id="1052" name="Text Box 11"/>
                        <wps:cNvSpPr txBox="1">
                          <a:spLocks noChangeArrowheads="1"/>
                        </wps:cNvSpPr>
                        <wps:spPr>
                          <a:xfrm>
                            <a:off x="3348990" y="1756410"/>
                            <a:ext cx="1338580" cy="234950"/>
                          </a:xfrm>
                          <a:prstGeom prst="rect">
                            <a:avLst/>
                          </a:prstGeom>
                          <a:gradFill rotWithShape="0">
                            <a:gsLst>
                              <a:gs pos="0">
                                <a:srgbClr val="92CDDC"/>
                              </a:gs>
                              <a:gs pos="50000">
                                <a:srgbClr val="DAEEF3"/>
                              </a:gs>
                              <a:gs pos="100000">
                                <a:srgbClr val="92CDDC"/>
                              </a:gs>
                            </a:gsLst>
                            <a:lin ang="18900000" scaled="1"/>
                            <a:tileRect/>
                          </a:gradFill>
                          <a:ln w="12700">
                            <a:solidFill>
                              <a:srgbClr val="92CDDC"/>
                            </a:solidFill>
                            <a:miter lim="800000"/>
                            <a:headEnd/>
                            <a:tailEnd/>
                          </a:ln>
                          <a:effectLst>
                            <a:outerShdw dist="28398" dir="3806097" algn="ctr" rotWithShape="0">
                              <a:srgbClr val="205867">
                                <a:alpha val="50000"/>
                              </a:srgbClr>
                            </a:outerShdw>
                          </a:effectLst>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その他</w:t>
                              </w:r>
                            </w:p>
                          </w:txbxContent>
                        </wps:txbx>
                        <wps:bodyPr rot="0" vertOverflow="overflow" horzOverflow="overflow" wrap="square" lIns="74295" tIns="8890" rIns="74295" bIns="8890" anchor="t" anchorCtr="0" upright="1"/>
                      </wps:wsp>
                      <wps:wsp>
                        <wps:cNvPr id="1053" name="Text Box 12"/>
                        <wps:cNvSpPr txBox="1">
                          <a:spLocks noChangeArrowheads="1"/>
                        </wps:cNvSpPr>
                        <wps:spPr>
                          <a:xfrm>
                            <a:off x="3348990" y="2164715"/>
                            <a:ext cx="1338580" cy="1173480"/>
                          </a:xfrm>
                          <a:prstGeom prst="rect">
                            <a:avLst/>
                          </a:prstGeom>
                          <a:gradFill rotWithShape="0">
                            <a:gsLst>
                              <a:gs pos="0">
                                <a:srgbClr val="C2D69B"/>
                              </a:gs>
                              <a:gs pos="50000">
                                <a:srgbClr val="EAF1DD"/>
                              </a:gs>
                              <a:gs pos="100000">
                                <a:srgbClr val="C2D69B"/>
                              </a:gs>
                            </a:gsLst>
                            <a:lin ang="18900000" scaled="1"/>
                            <a:tileRect/>
                          </a:gradFill>
                          <a:ln w="12700">
                            <a:solidFill>
                              <a:srgbClr val="C2D69B"/>
                            </a:solidFill>
                            <a:miter lim="800000"/>
                            <a:headEnd/>
                            <a:tailEnd/>
                          </a:ln>
                          <a:effectLst>
                            <a:outerShdw dist="28398" dir="3806097" algn="ctr" rotWithShape="0">
                              <a:srgbClr val="4E6128">
                                <a:alpha val="50000"/>
                              </a:srgbClr>
                            </a:outerShdw>
                          </a:effectLst>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投資及び出資金</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長期滞留債権</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投資損失引当金</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基金</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長期貸付金</w:t>
                              </w:r>
                            </w:p>
                          </w:txbxContent>
                        </wps:txbx>
                        <wps:bodyPr rot="0" vertOverflow="overflow" horzOverflow="overflow" wrap="square" lIns="74295" tIns="8890" rIns="74295" bIns="8890" anchor="t" anchorCtr="0" upright="1">
                          <a:spAutoFit/>
                        </wps:bodyPr>
                      </wps:wsp>
                      <wps:wsp>
                        <wps:cNvPr id="1054" name="Text Box 13"/>
                        <wps:cNvSpPr txBox="1">
                          <a:spLocks noChangeArrowheads="1"/>
                        </wps:cNvSpPr>
                        <wps:spPr>
                          <a:xfrm>
                            <a:off x="1278890" y="2637790"/>
                            <a:ext cx="1339850" cy="233680"/>
                          </a:xfrm>
                          <a:prstGeom prst="rect">
                            <a:avLst/>
                          </a:prstGeom>
                          <a:gradFill rotWithShape="0">
                            <a:gsLst>
                              <a:gs pos="0">
                                <a:srgbClr val="C2D69B"/>
                              </a:gs>
                              <a:gs pos="50000">
                                <a:srgbClr val="9BBB59"/>
                              </a:gs>
                              <a:gs pos="100000">
                                <a:srgbClr val="C2D69B"/>
                              </a:gs>
                            </a:gsLst>
                            <a:lin ang="5400000" scaled="1"/>
                            <a:tileRect/>
                          </a:gradFill>
                          <a:ln w="12700">
                            <a:solidFill>
                              <a:srgbClr val="9BBB59"/>
                            </a:solidFill>
                            <a:miter lim="800000"/>
                            <a:headEnd/>
                            <a:tailEnd/>
                          </a:ln>
                          <a:effectLst>
                            <a:outerShdw dist="28398" dir="3806097" algn="ctr" rotWithShape="0">
                              <a:srgbClr val="4E6128"/>
                            </a:outerShdw>
                          </a:effectLst>
                        </wps:spPr>
                        <wps:txbx>
                          <w:txbxContent>
                            <w:p>
                              <w:pPr>
                                <w:pStyle w:val="0"/>
                                <w:jc w:val="center"/>
                                <w:rPr>
                                  <w:rFonts w:hint="default" w:ascii="ＭＳ ゴシック" w:hAnsi="ＭＳ ゴシック" w:eastAsia="ＭＳ ゴシック"/>
                                  <w:b w:val="1"/>
                                  <w:color w:val="FFFFFF"/>
                                </w:rPr>
                              </w:pPr>
                              <w:r>
                                <w:rPr>
                                  <w:rFonts w:hint="eastAsia" w:ascii="ＭＳ ゴシック" w:hAnsi="ＭＳ ゴシック" w:eastAsia="ＭＳ ゴシック"/>
                                  <w:b w:val="1"/>
                                  <w:color w:val="FFFFFF"/>
                                </w:rPr>
                                <w:t>投資その他の資産</w:t>
                              </w:r>
                            </w:p>
                          </w:txbxContent>
                        </wps:txbx>
                        <wps:bodyPr rot="0" vertOverflow="overflow" horzOverflow="overflow" wrap="square" lIns="74295" tIns="8890" rIns="74295" bIns="8890" anchor="t" anchorCtr="0" upright="1"/>
                      </wps:wsp>
                      <wps:wsp>
                        <wps:cNvPr id="1055" name="AutoShape 14"/>
                        <wps:cNvCnPr>
                          <a:stCxn id="1045" idx="3"/>
                          <a:endCxn id="1046" idx="1"/>
                        </wps:cNvCnPr>
                        <wps:spPr>
                          <a:xfrm flipV="1">
                            <a:off x="711835" y="725805"/>
                            <a:ext cx="567690" cy="770890"/>
                          </a:xfrm>
                          <a:prstGeom prst="bentConnector3">
                            <a:avLst>
                              <a:gd name="adj1" fmla="val 50000"/>
                            </a:avLst>
                          </a:prstGeom>
                          <a:noFill/>
                          <a:ln w="19050">
                            <a:solidFill>
                              <a:srgbClr val="4F81BD"/>
                            </a:solidFill>
                            <a:miter lim="800000"/>
                            <a:headEnd/>
                            <a:tailEnd/>
                          </a:ln>
                          <a:effectLst/>
                        </wps:spPr>
                        <wps:bodyPr/>
                      </wps:wsp>
                      <wps:wsp>
                        <wps:cNvPr id="1056" name="AutoShape 15"/>
                        <wps:cNvCnPr>
                          <a:stCxn id="1045" idx="3"/>
                          <a:endCxn id="1054" idx="1"/>
                        </wps:cNvCnPr>
                        <wps:spPr>
                          <a:xfrm>
                            <a:off x="711835" y="1496695"/>
                            <a:ext cx="567055" cy="1257935"/>
                          </a:xfrm>
                          <a:prstGeom prst="bentConnector3">
                            <a:avLst>
                              <a:gd name="adj1" fmla="val 50000"/>
                            </a:avLst>
                          </a:prstGeom>
                          <a:noFill/>
                          <a:ln w="19050">
                            <a:solidFill>
                              <a:srgbClr val="4F81BD"/>
                            </a:solidFill>
                            <a:miter lim="800000"/>
                            <a:headEnd/>
                            <a:tailEnd/>
                          </a:ln>
                          <a:effectLst/>
                        </wps:spPr>
                        <wps:bodyPr/>
                      </wps:wsp>
                      <wps:wsp>
                        <wps:cNvPr id="1057" name="AutoShape 16"/>
                        <wps:cNvCnPr>
                          <a:stCxn id="1046" idx="3"/>
                          <a:endCxn id="1047" idx="1"/>
                        </wps:cNvCnPr>
                        <wps:spPr>
                          <a:xfrm flipV="1">
                            <a:off x="2618740" y="358775"/>
                            <a:ext cx="730250" cy="367030"/>
                          </a:xfrm>
                          <a:prstGeom prst="bentConnector3">
                            <a:avLst>
                              <a:gd name="adj1" fmla="val 49912"/>
                            </a:avLst>
                          </a:prstGeom>
                          <a:noFill/>
                          <a:ln w="19050">
                            <a:solidFill>
                              <a:srgbClr val="4F81BD"/>
                            </a:solidFill>
                            <a:miter lim="800000"/>
                            <a:headEnd/>
                            <a:tailEnd/>
                          </a:ln>
                          <a:effectLst/>
                        </wps:spPr>
                        <wps:bodyPr/>
                      </wps:wsp>
                      <wps:wsp>
                        <wps:cNvPr id="1058" name="AutoShape 17"/>
                        <wps:cNvCnPr>
                          <a:stCxn id="1046" idx="3"/>
                          <a:endCxn id="1048" idx="1"/>
                        </wps:cNvCnPr>
                        <wps:spPr>
                          <a:xfrm flipV="1">
                            <a:off x="2618740" y="724535"/>
                            <a:ext cx="730250" cy="1270"/>
                          </a:xfrm>
                          <a:prstGeom prst="bentConnector3">
                            <a:avLst>
                              <a:gd name="adj1" fmla="val 49912"/>
                            </a:avLst>
                          </a:prstGeom>
                          <a:noFill/>
                          <a:ln w="19050">
                            <a:solidFill>
                              <a:srgbClr val="4F81BD"/>
                            </a:solidFill>
                            <a:miter lim="800000"/>
                            <a:headEnd/>
                            <a:tailEnd/>
                          </a:ln>
                          <a:effectLst/>
                        </wps:spPr>
                        <wps:bodyPr/>
                      </wps:wsp>
                      <wps:wsp>
                        <wps:cNvPr id="1059" name="AutoShape 18"/>
                        <wps:cNvCnPr>
                          <a:stCxn id="1046" idx="3"/>
                          <a:endCxn id="1049" idx="1"/>
                        </wps:cNvCnPr>
                        <wps:spPr>
                          <a:xfrm>
                            <a:off x="2618740" y="725805"/>
                            <a:ext cx="730250" cy="363855"/>
                          </a:xfrm>
                          <a:prstGeom prst="bentConnector3">
                            <a:avLst>
                              <a:gd name="adj1" fmla="val 49912"/>
                            </a:avLst>
                          </a:prstGeom>
                          <a:noFill/>
                          <a:ln w="19050">
                            <a:solidFill>
                              <a:srgbClr val="4F81BD"/>
                            </a:solidFill>
                            <a:miter lim="800000"/>
                            <a:headEnd/>
                            <a:tailEnd/>
                          </a:ln>
                          <a:effectLst/>
                        </wps:spPr>
                        <wps:bodyPr/>
                      </wps:wsp>
                      <wps:wsp>
                        <wps:cNvPr id="1060" name="AutoShape 19"/>
                        <wps:cNvCnPr>
                          <a:stCxn id="1045" idx="3"/>
                          <a:endCxn id="1050" idx="1"/>
                        </wps:cNvCnPr>
                        <wps:spPr>
                          <a:xfrm flipV="1">
                            <a:off x="711835" y="1491615"/>
                            <a:ext cx="567690" cy="5080"/>
                          </a:xfrm>
                          <a:prstGeom prst="bentConnector3">
                            <a:avLst>
                              <a:gd name="adj1" fmla="val 50000"/>
                            </a:avLst>
                          </a:prstGeom>
                          <a:noFill/>
                          <a:ln w="19050">
                            <a:solidFill>
                              <a:srgbClr val="4F81BD"/>
                            </a:solidFill>
                            <a:miter lim="800000"/>
                            <a:headEnd/>
                            <a:tailEnd/>
                          </a:ln>
                          <a:effectLst/>
                        </wps:spPr>
                        <wps:bodyPr/>
                      </wps:wsp>
                      <wps:wsp>
                        <wps:cNvPr id="1061" name="AutoShape 20"/>
                        <wps:cNvCnPr>
                          <a:stCxn id="1050" idx="3"/>
                          <a:endCxn id="1051" idx="1"/>
                        </wps:cNvCnPr>
                        <wps:spPr>
                          <a:xfrm>
                            <a:off x="2619375" y="1491615"/>
                            <a:ext cx="729615" cy="635"/>
                          </a:xfrm>
                          <a:prstGeom prst="bentConnector3">
                            <a:avLst>
                              <a:gd name="adj1" fmla="val 49958"/>
                            </a:avLst>
                          </a:prstGeom>
                          <a:noFill/>
                          <a:ln w="19050">
                            <a:solidFill>
                              <a:srgbClr val="4F81BD"/>
                            </a:solidFill>
                            <a:miter lim="800000"/>
                            <a:headEnd/>
                            <a:tailEnd/>
                          </a:ln>
                          <a:effectLst/>
                        </wps:spPr>
                        <wps:bodyPr/>
                      </wps:wsp>
                      <wps:wsp>
                        <wps:cNvPr id="1062" name="AutoShape 21"/>
                        <wps:cNvCnPr>
                          <a:stCxn id="1050" idx="3"/>
                          <a:endCxn id="1052" idx="1"/>
                        </wps:cNvCnPr>
                        <wps:spPr>
                          <a:xfrm>
                            <a:off x="2619375" y="1491615"/>
                            <a:ext cx="729615" cy="382270"/>
                          </a:xfrm>
                          <a:prstGeom prst="bentConnector3">
                            <a:avLst>
                              <a:gd name="adj1" fmla="val 49958"/>
                            </a:avLst>
                          </a:prstGeom>
                          <a:noFill/>
                          <a:ln w="19050">
                            <a:solidFill>
                              <a:srgbClr val="4F81BD"/>
                            </a:solidFill>
                            <a:miter lim="800000"/>
                            <a:headEnd/>
                            <a:tailEnd/>
                          </a:ln>
                          <a:effectLst/>
                        </wps:spPr>
                        <wps:bodyPr/>
                      </wps:wsp>
                      <wps:wsp>
                        <wps:cNvPr id="1063" name="直線コネクタ 8"/>
                        <wps:cNvSpPr/>
                        <wps:spPr>
                          <a:xfrm flipV="1">
                            <a:off x="2618740" y="2751455"/>
                            <a:ext cx="730250" cy="3175"/>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wpc:wpc>
                  </a:graphicData>
                </a:graphic>
              </wp:anchor>
            </w:drawing>
          </mc:Choice>
          <mc:Fallback>
            <w:pict>
              <v:group id="キャンバス 43" style="mso-wrap-distance-right:9pt;mso-wrap-distance-bottom:0pt;margin-top:3.65pt;mso-position-vertical-relative:text;mso-position-horizontal-relative:margin;position:absolute;height:275.3pt;mso-wrap-distance-top:0pt;width:481.9pt;mso-wrap-distance-left:9pt;margin-left:-5.e-002pt;z-index:2;" coordsize="6120130,3496310" coordorigin="0,0" o:spid="_x0000_s1044" o:allowincell="t" o:allowoverlap="t"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style="height:3496310;width:6120130;top:0;left:0;position:absolute;" filled="f" stroked="f" o:spt="75" type="#_x0000_t75">
                  <v:fill/>
                  <v:imagedata o:title=""/>
                  <w10:wrap type="none" anchorx="margin" anchory="text"/>
                </v:shape>
                <v:shapetype id="_x0000_t202" coordsize="21600,21600" o:spt="202" path="m,l,21600r21600,l21600,xe">
                  <v:stroke joinstyle="miter"/>
                  <v:path gradientshapeok="t" o:connecttype="rect"/>
                </v:shapetype>
                <v:shape id="Text Box 4" style="height:1014095;width:389890;top:989330;left:321945;position:absolute;" o:spid="_x0000_s1045" filled="t" fillcolor="#95b3d7" stroked="t" strokecolor="#4f81bd" strokeweight="1pt" o:spt="202" type="#_x0000_t202">
                  <v:fill type="gradient" color2="#4f81bd" focus="50%"/>
                  <v:stroke miterlimit="8" filltype="solid"/>
                  <v:shadow on="t" color="#243f60" offset="1pt,2pt" matrix="65536f,,,65536f,,"/>
                  <v:textbox style="layout-flow:vertical-ideographic;mso-fit-shape-to-text:t;" inset="2.0637499999999998mm,0.24694444444444438mm,2.0637499999999998mm,0.24694444444444438mm">
                    <w:txbxContent>
                      <w:p>
                        <w:pPr>
                          <w:pStyle w:val="0"/>
                          <w:jc w:val="center"/>
                          <w:rPr>
                            <w:rFonts w:hint="default" w:ascii="ＭＳ ゴシック" w:hAnsi="ＭＳ ゴシック" w:eastAsia="ＭＳ ゴシック"/>
                            <w:b w:val="1"/>
                            <w:color w:val="FFFFFF"/>
                            <w:sz w:val="24"/>
                          </w:rPr>
                        </w:pPr>
                        <w:r>
                          <w:rPr>
                            <w:rFonts w:hint="eastAsia" w:ascii="ＭＳ ゴシック" w:hAnsi="ＭＳ ゴシック" w:eastAsia="ＭＳ ゴシック"/>
                            <w:b w:val="1"/>
                            <w:color w:val="FFFFFF"/>
                            <w:sz w:val="24"/>
                          </w:rPr>
                          <w:t>固定資産</w:t>
                        </w:r>
                      </w:p>
                    </w:txbxContent>
                  </v:textbox>
                  <v:imagedata o:title=""/>
                  <w10:wrap type="none" anchorx="margin" anchory="text"/>
                </v:shape>
                <v:shape id="Text Box 5" style="height:233680;width:1339215;top:608965;left:1279525;position:absolute;" o:spid="_x0000_s1046" filled="t" fillcolor="#fabf8f" stroked="t" strokecolor="#f79646" strokeweight="1pt" o:spt="202" type="#_x0000_t202">
                  <v:fill type="gradient" color2="#f79646" focus="50%"/>
                  <v:stroke miterlimit="8" filltype="solid"/>
                  <v:shadow on="t" color="#974706" offset="1pt,2pt" matrix="65536f,,,65536f,,"/>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color w:val="FFFFFF"/>
                          </w:rPr>
                        </w:pPr>
                        <w:r>
                          <w:rPr>
                            <w:rFonts w:hint="eastAsia" w:ascii="ＭＳ ゴシック" w:hAnsi="ＭＳ ゴシック" w:eastAsia="ＭＳ ゴシック"/>
                            <w:b w:val="1"/>
                            <w:color w:val="FFFFFF"/>
                          </w:rPr>
                          <w:t>有形固定資産</w:t>
                        </w:r>
                      </w:p>
                    </w:txbxContent>
                  </v:textbox>
                  <v:imagedata o:title=""/>
                  <w10:wrap type="none" anchorx="margin" anchory="text"/>
                </v:shape>
                <v:shape id="Text Box 6" style="height:235585;width:1338580;top:240665;left:3348990;position:absolute;" o:spid="_x0000_s1047" filled="t" fillcolor="#fabf8f" stroked="t" strokecolor="#fabf8f" strokeweight="1pt" o:spt="202" type="#_x0000_t202">
                  <v:fill type="gradient" color2="#fde9d9" angle="135" focus="50%"/>
                  <v:stroke miterlimit="8" filltype="solid"/>
                  <v:shadow on="t" color="#974706" opacity="32768f" offset="1pt,2pt" matrix="65536f,,,65536f,,"/>
                  <v:textbox style="layout-flow:horizontal;"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事業用資産</w:t>
                        </w:r>
                      </w:p>
                    </w:txbxContent>
                  </v:textbox>
                  <v:imagedata o:title=""/>
                  <w10:wrap type="none" anchorx="margin" anchory="text"/>
                </v:shape>
                <v:shape id="Text Box 7" style="height:234315;width:1338580;top:607060;left:3348990;position:absolute;" o:spid="_x0000_s1048" filled="t" fillcolor="#fabf8f" stroked="t" strokecolor="#fabf8f" strokeweight="1pt" o:spt="202" type="#_x0000_t202">
                  <v:fill type="gradient" color2="#fde9d9" angle="135" focus="50%"/>
                  <v:stroke miterlimit="8" filltype="solid"/>
                  <v:shadow on="t" color="#974706" opacity="32768f" offset="1pt,2pt" matrix="65536f,,,65536f,,"/>
                  <v:textbox style="layout-flow:horizontal;"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インフラ資産</w:t>
                        </w:r>
                      </w:p>
                    </w:txbxContent>
                  </v:textbox>
                  <v:imagedata o:title=""/>
                  <w10:wrap type="none" anchorx="margin" anchory="text"/>
                </v:shape>
                <v:shape id="Text Box 8" style="height:234950;width:1338580;top:972185;left:3348990;position:absolute;" o:spid="_x0000_s1049" filled="t" fillcolor="#fabf8f" stroked="t" strokecolor="#fabf8f" strokeweight="1pt" o:spt="202" type="#_x0000_t202">
                  <v:fill type="gradient" color2="#fde9d9" angle="135" focus="50%"/>
                  <v:stroke miterlimit="8" filltype="solid"/>
                  <v:shadow on="t" color="#974706" opacity="32768f" offset="1pt,2pt" matrix="65536f,,,65536f,,"/>
                  <v:textbox style="layout-flow:horizontal;"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物　品</w:t>
                        </w:r>
                      </w:p>
                    </w:txbxContent>
                  </v:textbox>
                  <v:imagedata o:title=""/>
                  <w10:wrap type="none" anchorx="margin" anchory="text"/>
                </v:shape>
                <v:shape id="Text Box 9" style="height:233680;width:1339850;top:1374775;left:1279525;position:absolute;" o:spid="_x0000_s1050" filled="t" fillcolor="#92cddc" stroked="t" strokecolor="#4bacc6" strokeweight="1pt" o:spt="202" type="#_x0000_t202">
                  <v:fill type="gradient" color2="#4bacc6" focus="50%"/>
                  <v:stroke miterlimit="8" filltype="solid"/>
                  <v:shadow on="t" color="#205867" offset="1pt,2pt" matrix="65536f,,,65536f,,"/>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color w:val="FFFFFF"/>
                          </w:rPr>
                        </w:pPr>
                        <w:r>
                          <w:rPr>
                            <w:rFonts w:hint="eastAsia" w:ascii="ＭＳ ゴシック" w:hAnsi="ＭＳ ゴシック" w:eastAsia="ＭＳ ゴシック"/>
                            <w:b w:val="1"/>
                            <w:color w:val="FFFFFF"/>
                          </w:rPr>
                          <w:t>無形固定資産</w:t>
                        </w:r>
                      </w:p>
                    </w:txbxContent>
                  </v:textbox>
                  <v:imagedata o:title=""/>
                  <w10:wrap type="none" anchorx="margin" anchory="text"/>
                </v:shape>
                <v:shape id="Text Box 10" style="height:233680;width:1338580;top:1375410;left:3348990;position:absolute;" o:spid="_x0000_s1051" filled="t" fillcolor="#92cddc" stroked="t" strokecolor="#92cddc" strokeweight="1pt" o:spt="202" type="#_x0000_t202">
                  <v:fill type="gradient" color2="#daeef3" angle="135" focus="50%"/>
                  <v:stroke miterlimit="8" filltype="solid"/>
                  <v:shadow on="t" color="#205867" opacity="32768f" offset="1pt,2pt" matrix="65536f,,,65536f,,"/>
                  <v:textbox style="layout-flow:horizontal;"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ソフトウェア</w:t>
                        </w:r>
                      </w:p>
                    </w:txbxContent>
                  </v:textbox>
                  <v:imagedata o:title=""/>
                  <w10:wrap type="none" anchorx="margin" anchory="text"/>
                </v:shape>
                <v:shape id="Text Box 11" style="height:234950;width:1338580;top:1756410;left:3348990;position:absolute;" o:spid="_x0000_s1052" filled="t" fillcolor="#92cddc" stroked="t" strokecolor="#92cddc" strokeweight="1pt" o:spt="202" type="#_x0000_t202">
                  <v:fill type="gradient" color2="#daeef3" angle="135" focus="50%"/>
                  <v:stroke miterlimit="8" filltype="solid"/>
                  <v:shadow on="t" color="#205867" opacity="32768f" offset="1pt,2pt" matrix="65536f,,,65536f,,"/>
                  <v:textbox style="layout-flow:horizontal;"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その他</w:t>
                        </w:r>
                      </w:p>
                    </w:txbxContent>
                  </v:textbox>
                  <v:imagedata o:title=""/>
                  <w10:wrap type="none" anchorx="margin" anchory="text"/>
                </v:shape>
                <v:shape id="Text Box 12" style="height:1173480;width:1338580;top:2164715;left:3348990;position:absolute;" o:spid="_x0000_s1053" filled="t" fillcolor="#c2d69b" stroked="t" strokecolor="#c2d69b" strokeweight="1pt" o:spt="202" type="#_x0000_t202">
                  <v:fill type="gradient" color2="#eaf1dd" angle="135" focus="50%"/>
                  <v:stroke miterlimit="8" filltype="solid"/>
                  <v:shadow on="t" color="#4e6128" opacity="32768f" offset="1pt,2pt" matrix="65536f,,,65536f,,"/>
                  <v:textbox style="layout-flow:horizontal;mso-fit-shape-to-text:t;"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投資及び出資金</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長期滞留債権</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投資損失引当金</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基金</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長期貸付金</w:t>
                        </w:r>
                      </w:p>
                    </w:txbxContent>
                  </v:textbox>
                  <v:imagedata o:title=""/>
                  <w10:wrap type="none" anchorx="margin" anchory="text"/>
                </v:shape>
                <v:shape id="Text Box 13" style="height:233680;width:1339850;top:2637790;left:1278890;position:absolute;" o:spid="_x0000_s1054" filled="t" fillcolor="#c2d69b" stroked="t" strokecolor="#9bbb59" strokeweight="1pt" o:spt="202" type="#_x0000_t202">
                  <v:fill type="gradient" color2="#9bbb59" focus="50%"/>
                  <v:stroke miterlimit="8" filltype="solid"/>
                  <v:shadow on="t" color="#4e6128" offset="1pt,2pt" matrix="65536f,,,65536f,,"/>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color w:val="FFFFFF"/>
                          </w:rPr>
                        </w:pPr>
                        <w:r>
                          <w:rPr>
                            <w:rFonts w:hint="eastAsia" w:ascii="ＭＳ ゴシック" w:hAnsi="ＭＳ ゴシック" w:eastAsia="ＭＳ ゴシック"/>
                            <w:b w:val="1"/>
                            <w:color w:val="FFFFFF"/>
                          </w:rPr>
                          <w:t>投資その他の資産</w:t>
                        </w:r>
                      </w:p>
                    </w:txbxContent>
                  </v:textbox>
                  <v:imagedata o:title=""/>
                  <w10:wrap type="none" anchorx="margin" anchory="tex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 style="height:770890;width:567690;flip:y;top:725805;left:711835;position:absolute;" o:spid="_x0000_s1055" filled="f" stroked="t" strokecolor="#4f81bd" strokeweight="1.5pt" o:spt="34" o:connectortype="elbow" type="#_x0000_t34" adj="10800,0,0">
                  <v:fill/>
                  <v:stroke miterlimit="8" filltype="solid"/>
                  <v:imagedata o:title=""/>
                  <o:lock v:ext="edit" shapetype="t"/>
                  <w10:wrap type="none" anchorx="margin" anchory="text"/>
                </v:shape>
                <v:shape id="AutoShape 15" style="height:1257935;width:567055;top:1496695;left:711835;position:absolute;" o:spid="_x0000_s1056" filled="f" stroked="t" strokecolor="#4f81bd" strokeweight="1.5pt" o:spt="34" o:connectortype="elbow" type="#_x0000_t34" adj="10800,0,0">
                  <v:fill/>
                  <v:stroke miterlimit="8" filltype="solid"/>
                  <v:imagedata o:title=""/>
                  <o:lock v:ext="edit" shapetype="t"/>
                  <w10:wrap type="none" anchorx="margin" anchory="text"/>
                </v:shape>
                <v:shape id="AutoShape 16" style="height:367030;width:730250;flip:y;top:358775;left:2618740;position:absolute;" o:spid="_x0000_s1057" filled="f" stroked="t" strokecolor="#4f81bd" strokeweight="1.5pt" o:spt="34" o:connectortype="elbow" type="#_x0000_t34" adj="10781">
                  <v:fill/>
                  <v:stroke miterlimit="8" filltype="solid"/>
                  <v:imagedata o:title=""/>
                  <o:lock v:ext="edit" shapetype="t"/>
                  <w10:wrap type="none" anchorx="margin" anchory="text"/>
                </v:shape>
                <v:shape id="AutoShape 17" style="height:1270;width:730250;flip:y;top:724535;left:2618740;position:absolute;" o:spid="_x0000_s1058" filled="f" stroked="t" strokecolor="#4f81bd" strokeweight="1.5pt" o:spt="34" o:connectortype="elbow" type="#_x0000_t34" adj="10781">
                  <v:fill/>
                  <v:stroke miterlimit="8" filltype="solid"/>
                  <v:imagedata o:title=""/>
                  <o:lock v:ext="edit" shapetype="t"/>
                  <w10:wrap type="none" anchorx="margin" anchory="text"/>
                </v:shape>
                <v:shape id="AutoShape 18" style="height:363855;width:730250;top:725805;left:2618740;position:absolute;" o:spid="_x0000_s1059" filled="f" stroked="t" strokecolor="#4f81bd" strokeweight="1.5pt" o:spt="34" o:connectortype="elbow" type="#_x0000_t34" adj="10781">
                  <v:fill/>
                  <v:stroke miterlimit="8" filltype="solid"/>
                  <v:imagedata o:title=""/>
                  <o:lock v:ext="edit" shapetype="t"/>
                  <w10:wrap type="none" anchorx="margin" anchory="text"/>
                </v:shape>
                <v:shape id="AutoShape 19" style="height:5080;width:567690;flip:y;top:1491615;left:711835;position:absolute;" o:spid="_x0000_s1060" filled="f" stroked="t" strokecolor="#4f81bd" strokeweight="1.5pt" o:spt="34" o:connectortype="elbow" type="#_x0000_t34" adj="10800,0,0">
                  <v:fill/>
                  <v:stroke miterlimit="8" filltype="solid"/>
                  <v:imagedata o:title=""/>
                  <o:lock v:ext="edit" shapetype="t"/>
                  <w10:wrap type="none" anchorx="margin" anchory="text"/>
                </v:shape>
                <v:shape id="AutoShape 20" style="height:635;width:729615;top:1491615;left:2619375;position:absolute;" o:spid="_x0000_s1061" filled="f" stroked="t" strokecolor="#4f81bd" strokeweight="1.5pt" o:spt="34" o:connectortype="elbow" type="#_x0000_t34" adj="10791">
                  <v:fill/>
                  <v:stroke miterlimit="8" filltype="solid"/>
                  <v:imagedata o:title=""/>
                  <o:lock v:ext="edit" shapetype="t"/>
                  <w10:wrap type="none" anchorx="margin" anchory="text"/>
                </v:shape>
                <v:shape id="AutoShape 21" style="height:382270;width:729615;top:1491615;left:2619375;position:absolute;" o:spid="_x0000_s1062" filled="f" stroked="t" strokecolor="#4f81bd" strokeweight="1.5pt" o:spt="34" o:connectortype="elbow" type="#_x0000_t34" adj="10791">
                  <v:fill/>
                  <v:stroke miterlimit="8" filltype="solid"/>
                  <v:imagedata o:title=""/>
                  <o:lock v:ext="edit" shapetype="t"/>
                  <w10:wrap type="none" anchorx="margin" anchory="text"/>
                </v:shape>
                <v:line id="直線コネクタ 8" style="height:3175;width:730250;flip:y;top:2751455;left:2618740;position:absolute;" o:spid="_x0000_s1063" filled="f" stroked="t" strokecolor="#4472c4 [3208]" strokeweight="1.5pt" o:spt="20" from="2618740,2751455" to="3348990,2754630">
                  <v:fill/>
                  <v:stroke linestyle="single" miterlimit="8" endcap="flat" dashstyle="solid" filltype="solid"/>
                  <v:textbox style="layout-flow:horizontal;"/>
                  <v:imagedata o:title=""/>
                  <w10:wrap type="none" anchorx="margin" anchory="text"/>
                </v:line>
                <o:lock v:ext="edit" aspectratio="t"/>
                <w10:wrap type="none" anchorx="margin" anchory="text"/>
              </v:group>
            </w:pict>
          </mc:Fallback>
        </mc:AlternateContent>
      </w: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rPr>
          <w:rFonts w:hint="default" w:asciiTheme="minorEastAsia" w:hAnsiTheme="minorEastAsia"/>
          <w:kern w:val="0"/>
          <w:sz w:val="24"/>
        </w:rPr>
      </w:pPr>
      <w:r>
        <w:rPr>
          <w:rFonts w:hint="default" w:asciiTheme="minorEastAsia" w:hAnsiTheme="minorEastAsia"/>
          <w:kern w:val="0"/>
          <w:sz w:val="24"/>
        </w:rPr>
        <w:br w:type="page"/>
      </w:r>
    </w:p>
    <w:p>
      <w:pPr>
        <w:pStyle w:val="0"/>
        <w:rPr>
          <w:rFonts w:hint="default" w:ascii="メイリオ" w:hAnsi="メイリオ" w:eastAsia="メイリオ"/>
          <w:kern w:val="0"/>
          <w:sz w:val="24"/>
        </w:rPr>
      </w:pPr>
      <w:r>
        <w:rPr>
          <w:rFonts w:hint="eastAsia" w:ascii="メイリオ" w:hAnsi="メイリオ" w:eastAsia="メイリオ"/>
          <w:kern w:val="0"/>
          <w:sz w:val="24"/>
        </w:rPr>
        <w:t>ロ）有形固定資産の状況</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これまでに占冠村で形成した有形固定資産の割合をみると以下の通りになります。</w:t>
      </w:r>
    </w:p>
    <w:p>
      <w:pPr>
        <w:pStyle w:val="0"/>
        <w:rPr>
          <w:rFonts w:hint="default" w:ascii="HGP創英角ｺﾞｼｯｸUB" w:hAnsi="HGP創英角ｺﾞｼｯｸUB" w:eastAsia="HGP創英角ｺﾞｼｯｸUB"/>
          <w:color w:val="003399"/>
          <w:kern w:val="0"/>
          <w:sz w:val="24"/>
        </w:rPr>
      </w:pPr>
    </w:p>
    <w:p>
      <w:pPr>
        <w:pStyle w:val="0"/>
        <w:rPr>
          <w:rFonts w:hint="default" w:ascii="HGP創英角ｺﾞｼｯｸUB" w:hAnsi="HGP創英角ｺﾞｼｯｸUB" w:eastAsia="HGP創英角ｺﾞｼｯｸUB"/>
          <w:color w:val="003399"/>
          <w:kern w:val="0"/>
          <w:sz w:val="18"/>
        </w:rPr>
      </w:pPr>
      <w:r>
        <w:rPr>
          <w:rFonts w:hint="eastAsia" w:ascii="HGP創英角ｺﾞｼｯｸUB" w:hAnsi="HGP創英角ｺﾞｼｯｸUB" w:eastAsia="HGP創英角ｺﾞｼｯｸUB"/>
          <w:color w:val="003399"/>
          <w:kern w:val="0"/>
          <w:sz w:val="24"/>
        </w:rPr>
        <w:t>■有形固定資産の形成割合　　　</w:t>
      </w:r>
      <w:r>
        <w:rPr>
          <w:rFonts w:hint="eastAsia" w:ascii="HGP創英角ｺﾞｼｯｸUB" w:hAnsi="HGP創英角ｺﾞｼｯｸUB" w:eastAsia="HGP創英角ｺﾞｼｯｸUB"/>
          <w:color w:val="003399"/>
          <w:kern w:val="0"/>
          <w:sz w:val="18"/>
        </w:rPr>
        <w:t>（単位：千円、％）</w:t>
      </w:r>
    </w:p>
    <w:p>
      <w:pPr>
        <w:pStyle w:val="0"/>
        <w:rPr>
          <w:rFonts w:hint="default" w:ascii="HGP創英角ｺﾞｼｯｸUB" w:hAnsi="HGP創英角ｺﾞｼｯｸUB" w:eastAsia="HGP創英角ｺﾞｼｯｸUB"/>
          <w:color w:val="003399"/>
          <w:kern w:val="0"/>
          <w:sz w:val="24"/>
        </w:rPr>
      </w:pPr>
      <w:r>
        <w:rPr>
          <w:rFonts w:hint="default"/>
        </w:rPr>
        <w:drawing>
          <wp:inline distT="0" distB="0" distL="0" distR="0">
            <wp:extent cx="6192520" cy="1911350"/>
            <wp:effectExtent l="0" t="0" r="0" b="0"/>
            <wp:docPr id="1064" name="Picture 2"/>
            <a:graphic xmlns:a="http://schemas.openxmlformats.org/drawingml/2006/main">
              <a:graphicData uri="http://schemas.openxmlformats.org/drawingml/2006/picture">
                <pic:pic xmlns:pic="http://schemas.openxmlformats.org/drawingml/2006/picture">
                  <pic:nvPicPr>
                    <pic:cNvPr id="1064" name="Picture 2"/>
                    <pic:cNvPicPr>
                      <a:picLocks noChangeAspect="1" noChangeArrowheads="1"/>
                    </pic:cNvPicPr>
                  </pic:nvPicPr>
                  <pic:blipFill>
                    <a:blip r:embed="rId13"/>
                    <a:stretch>
                      <a:fillRect/>
                    </a:stretch>
                  </pic:blipFill>
                  <pic:spPr>
                    <a:xfrm>
                      <a:off x="0" y="0"/>
                      <a:ext cx="6192520" cy="1911350"/>
                    </a:xfrm>
                    <a:prstGeom prst="rect">
                      <a:avLst/>
                    </a:prstGeom>
                    <a:noFill/>
                    <a:ln>
                      <a:noFill/>
                    </a:ln>
                  </pic:spPr>
                </pic:pic>
              </a:graphicData>
            </a:graphic>
          </wp:inline>
        </w:drawing>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※数値は、四捨五入しているため、合計値が一部合致しない場合があります。</w:t>
      </w:r>
    </w:p>
    <w:p>
      <w:pPr>
        <w:pStyle w:val="0"/>
        <w:rPr>
          <w:rFonts w:hint="default" w:asciiTheme="majorEastAsia" w:hAnsiTheme="majorEastAsia" w:eastAsiaTheme="majorEastAsia"/>
          <w:kern w:val="0"/>
          <w:sz w:val="22"/>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最も多くの投資を行った資産は建物（事業用）の</w:t>
      </w:r>
      <w:r>
        <w:rPr>
          <w:rFonts w:hint="eastAsia" w:ascii="ＭＳ 明朝" w:hAnsi="ＭＳ 明朝" w:eastAsia="ＭＳ 明朝"/>
          <w:sz w:val="24"/>
        </w:rPr>
        <w:t>52.2</w:t>
      </w:r>
      <w:r>
        <w:rPr>
          <w:rFonts w:hint="eastAsia" w:ascii="ＭＳ 明朝" w:hAnsi="ＭＳ 明朝" w:eastAsia="ＭＳ 明朝"/>
          <w:sz w:val="24"/>
        </w:rPr>
        <w:t>％、次いで工作物（インフラ）の</w:t>
      </w:r>
      <w:r>
        <w:rPr>
          <w:rFonts w:hint="eastAsia" w:ascii="ＭＳ 明朝" w:hAnsi="ＭＳ 明朝" w:eastAsia="ＭＳ 明朝"/>
          <w:sz w:val="24"/>
        </w:rPr>
        <w:t>38.9</w:t>
      </w:r>
      <w:r>
        <w:rPr>
          <w:rFonts w:hint="eastAsia" w:ascii="ＭＳ 明朝" w:hAnsi="ＭＳ 明朝" w:eastAsia="ＭＳ 明朝"/>
          <w:sz w:val="24"/>
        </w:rPr>
        <w:t>％となります。</w:t>
      </w:r>
    </w:p>
    <w:p>
      <w:pPr>
        <w:pStyle w:val="0"/>
        <w:ind w:firstLine="240" w:firstLineChars="100"/>
        <w:rPr>
          <w:rFonts w:hint="default" w:asciiTheme="majorEastAsia" w:hAnsiTheme="majorEastAsia" w:eastAsiaTheme="majorEastAsia"/>
          <w:kern w:val="0"/>
          <w:sz w:val="24"/>
        </w:rPr>
      </w:pPr>
    </w:p>
    <w:p>
      <w:pPr>
        <w:pStyle w:val="0"/>
        <w:rPr>
          <w:rFonts w:hint="default" w:ascii="メイリオ" w:hAnsi="メイリオ" w:eastAsia="メイリオ"/>
          <w:kern w:val="0"/>
          <w:sz w:val="24"/>
        </w:rPr>
      </w:pPr>
      <w:r>
        <w:rPr>
          <w:rFonts w:hint="eastAsia" w:ascii="メイリオ" w:hAnsi="メイリオ" w:eastAsia="メイリオ"/>
          <w:kern w:val="0"/>
          <w:sz w:val="24"/>
        </w:rPr>
        <w:t>ハ）資産老朽化比率</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有形固定資産のうち、土地以外の償却資産（建物や工作物等）の取得価額に対する減価償却累計額の割合を計算することにより、法定耐用年数に対して償却資産の取得からどの程度経過しているかを把握することができます。</w:t>
      </w:r>
      <w:r>
        <w:rPr>
          <w:rFonts w:hint="eastAsia" w:ascii="ＭＳ 明朝" w:hAnsi="ＭＳ 明朝" w:eastAsia="ＭＳ 明朝"/>
          <w:sz w:val="24"/>
        </w:rPr>
        <w:t>100</w:t>
      </w:r>
      <w:r>
        <w:rPr>
          <w:rFonts w:hint="eastAsia" w:ascii="ＭＳ 明朝" w:hAnsi="ＭＳ 明朝" w:eastAsia="ＭＳ 明朝"/>
          <w:sz w:val="24"/>
        </w:rPr>
        <w:t>％に近いほど耐用年数に近づき、古い施設が多いことを表す指標となります。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占冠村においては、</w:t>
      </w:r>
      <w:r>
        <w:rPr>
          <w:rFonts w:hint="eastAsia" w:ascii="ＭＳ 明朝" w:hAnsi="ＭＳ 明朝" w:eastAsia="ＭＳ 明朝"/>
          <w:sz w:val="24"/>
        </w:rPr>
        <w:t>67.7</w:t>
      </w:r>
      <w:r>
        <w:rPr>
          <w:rFonts w:hint="eastAsia" w:ascii="ＭＳ 明朝" w:hAnsi="ＭＳ 明朝" w:eastAsia="ＭＳ 明朝"/>
          <w:sz w:val="24"/>
        </w:rPr>
        <w:t>％と他団体と比較すると高い水準で、前年度より</w:t>
      </w:r>
      <w:r>
        <w:rPr>
          <w:rFonts w:hint="eastAsia" w:ascii="ＭＳ 明朝" w:hAnsi="ＭＳ 明朝" w:eastAsia="ＭＳ 明朝"/>
          <w:sz w:val="24"/>
        </w:rPr>
        <w:t>1.9</w:t>
      </w:r>
      <w:r>
        <w:rPr>
          <w:rFonts w:hint="eastAsia" w:ascii="ＭＳ 明朝" w:hAnsi="ＭＳ 明朝" w:eastAsia="ＭＳ 明朝"/>
          <w:sz w:val="24"/>
        </w:rPr>
        <w:t>ポイント増加しています。ちなみに事業用資産は</w:t>
      </w:r>
      <w:r>
        <w:rPr>
          <w:rFonts w:hint="eastAsia" w:ascii="ＭＳ 明朝" w:hAnsi="ＭＳ 明朝" w:eastAsia="ＭＳ 明朝"/>
          <w:sz w:val="24"/>
        </w:rPr>
        <w:t>73.7</w:t>
      </w:r>
      <w:r>
        <w:rPr>
          <w:rFonts w:hint="eastAsia" w:ascii="ＭＳ 明朝" w:hAnsi="ＭＳ 明朝" w:eastAsia="ＭＳ 明朝"/>
          <w:sz w:val="24"/>
        </w:rPr>
        <w:t>％、インフラ資産は</w:t>
      </w:r>
      <w:r>
        <w:rPr>
          <w:rFonts w:hint="eastAsia" w:ascii="ＭＳ 明朝" w:hAnsi="ＭＳ 明朝" w:eastAsia="ＭＳ 明朝"/>
          <w:sz w:val="24"/>
        </w:rPr>
        <w:t>52.1</w:t>
      </w:r>
      <w:r>
        <w:rPr>
          <w:rFonts w:hint="eastAsia" w:ascii="ＭＳ 明朝" w:hAnsi="ＭＳ 明朝" w:eastAsia="ＭＳ 明朝"/>
          <w:sz w:val="24"/>
        </w:rPr>
        <w:t>％となっています。</w:t>
      </w:r>
    </w:p>
    <w:p>
      <w:pPr>
        <w:pStyle w:val="0"/>
        <w:rPr>
          <w:rFonts w:hint="default" w:ascii="ＭＳ 明朝" w:hAnsi="ＭＳ 明朝" w:eastAsia="ＭＳ 明朝"/>
          <w:sz w:val="24"/>
        </w:rPr>
      </w:pPr>
    </w:p>
    <w:p>
      <w:pPr>
        <w:pStyle w:val="0"/>
        <w:rPr>
          <w:rFonts w:hint="default" w:ascii="HGP創英角ｺﾞｼｯｸUB" w:hAnsi="HGP創英角ｺﾞｼｯｸUB" w:eastAsia="HGP創英角ｺﾞｼｯｸUB"/>
          <w:color w:val="003399"/>
          <w:kern w:val="0"/>
        </w:rPr>
      </w:pPr>
      <w:r>
        <w:rPr>
          <w:rFonts w:hint="eastAsia" w:ascii="HGP創英角ｺﾞｼｯｸUB" w:hAnsi="HGP創英角ｺﾞｼｯｸUB" w:eastAsia="HGP創英角ｺﾞｼｯｸUB"/>
          <w:color w:val="003399"/>
          <w:kern w:val="0"/>
          <w:sz w:val="24"/>
        </w:rPr>
        <w:t>■資産老朽化比率　　　　　　　　　　　　　　　　　　　　　　　　　　　　　　　　　　　　　　　　</w:t>
      </w:r>
      <w:r>
        <w:rPr>
          <w:rFonts w:hint="eastAsia" w:ascii="HGP創英角ｺﾞｼｯｸUB" w:hAnsi="HGP創英角ｺﾞｼｯｸUB" w:eastAsia="HGP創英角ｺﾞｼｯｸUB"/>
          <w:color w:val="003399"/>
          <w:kern w:val="0"/>
        </w:rPr>
        <w:t>　</w:t>
      </w:r>
    </w:p>
    <w:p>
      <w:pPr>
        <w:pStyle w:val="0"/>
        <w:jc w:val="center"/>
        <w:rPr>
          <w:rFonts w:hint="default" w:asciiTheme="minorEastAsia" w:hAnsiTheme="minorEastAsia"/>
          <w:kern w:val="0"/>
          <w:sz w:val="24"/>
        </w:rPr>
      </w:pPr>
      <w:r>
        <w:rPr>
          <w:rFonts w:hint="default"/>
        </w:rPr>
        <w:drawing>
          <wp:inline distT="0" distB="0" distL="0" distR="0">
            <wp:extent cx="6192520" cy="1126490"/>
            <wp:effectExtent l="0" t="0" r="0" b="0"/>
            <wp:docPr id="1065" name="Picture 9"/>
            <a:graphic xmlns:a="http://schemas.openxmlformats.org/drawingml/2006/main">
              <a:graphicData uri="http://schemas.openxmlformats.org/drawingml/2006/picture">
                <pic:pic xmlns:pic="http://schemas.openxmlformats.org/drawingml/2006/picture">
                  <pic:nvPicPr>
                    <pic:cNvPr id="1065" name="Picture 9"/>
                    <pic:cNvPicPr>
                      <a:picLocks noChangeAspect="1" noChangeArrowheads="1"/>
                    </pic:cNvPicPr>
                  </pic:nvPicPr>
                  <pic:blipFill>
                    <a:blip r:embed="rId14"/>
                    <a:stretch>
                      <a:fillRect/>
                    </a:stretch>
                  </pic:blipFill>
                  <pic:spPr>
                    <a:xfrm>
                      <a:off x="0" y="0"/>
                      <a:ext cx="6192520" cy="1126490"/>
                    </a:xfrm>
                    <a:prstGeom prst="rect">
                      <a:avLst/>
                    </a:prstGeom>
                    <a:noFill/>
                    <a:ln>
                      <a:noFill/>
                    </a:ln>
                  </pic:spPr>
                </pic:pic>
              </a:graphicData>
            </a:graphic>
          </wp:inline>
        </w:drawing>
      </w:r>
    </w:p>
    <w:p>
      <w:pPr>
        <w:pStyle w:val="0"/>
        <w:jc w:val="center"/>
        <w:rPr>
          <w:rFonts w:hint="default" w:asciiTheme="minorEastAsia" w:hAnsiTheme="minorEastAsia"/>
          <w:kern w:val="0"/>
          <w:sz w:val="24"/>
        </w:rPr>
      </w:pPr>
    </w:p>
    <w:p>
      <w:pPr>
        <w:pStyle w:val="0"/>
        <w:jc w:val="center"/>
        <w:rPr>
          <w:rFonts w:hint="default" w:asciiTheme="minorEastAsia" w:hAnsiTheme="minorEastAsia"/>
          <w:kern w:val="0"/>
          <w:sz w:val="24"/>
        </w:rPr>
      </w:pPr>
    </w:p>
    <w:p>
      <w:pPr>
        <w:pStyle w:val="0"/>
        <w:rPr>
          <w:rFonts w:hint="default" w:asciiTheme="minorEastAsia" w:hAnsiTheme="minorEastAsia"/>
          <w:kern w:val="0"/>
          <w:sz w:val="24"/>
        </w:rPr>
      </w:pPr>
    </w:p>
    <w:p>
      <w:pPr>
        <w:pStyle w:val="0"/>
        <w:rPr>
          <w:rFonts w:hint="default" w:asciiTheme="minorEastAsia" w:hAnsiTheme="minorEastAsia"/>
          <w:kern w:val="0"/>
          <w:sz w:val="24"/>
        </w:rPr>
      </w:pPr>
    </w:p>
    <w:p>
      <w:pPr>
        <w:pStyle w:val="0"/>
        <w:rPr>
          <w:rFonts w:hint="default" w:ascii="メイリオ" w:hAnsi="メイリオ" w:eastAsia="メイリオ"/>
          <w:kern w:val="0"/>
          <w:sz w:val="22"/>
        </w:rPr>
      </w:pPr>
      <w:r>
        <w:rPr>
          <w:rFonts w:hint="eastAsia" w:ascii="メイリオ" w:hAnsi="メイリオ" w:eastAsia="メイリオ"/>
          <w:kern w:val="0"/>
          <w:sz w:val="24"/>
        </w:rPr>
        <w:t>④令和元年度占冠村における純資産の状況</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純資産は前述したとおり、形成した資産に対して、税収や補助金でどの程度賄われたのかをみるもので、純資産比率（資産合計に対する純資産合計の割合）で確認することができます。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占冠村の純資産比率は</w:t>
      </w:r>
      <w:r>
        <w:rPr>
          <w:rFonts w:hint="eastAsia" w:ascii="ＭＳ 明朝" w:hAnsi="ＭＳ 明朝" w:eastAsia="ＭＳ 明朝"/>
          <w:sz w:val="24"/>
        </w:rPr>
        <w:t>80.5</w:t>
      </w:r>
      <w:r>
        <w:rPr>
          <w:rFonts w:hint="eastAsia" w:ascii="ＭＳ 明朝" w:hAnsi="ＭＳ 明朝" w:eastAsia="ＭＳ 明朝"/>
          <w:sz w:val="24"/>
        </w:rPr>
        <w:t>％で人口</w:t>
      </w:r>
      <w:r>
        <w:rPr>
          <w:rFonts w:hint="eastAsia" w:ascii="ＭＳ 明朝" w:hAnsi="ＭＳ 明朝" w:eastAsia="ＭＳ 明朝"/>
          <w:sz w:val="24"/>
        </w:rPr>
        <w:t>5</w:t>
      </w:r>
      <w:r>
        <w:rPr>
          <w:rFonts w:hint="eastAsia" w:ascii="ＭＳ 明朝" w:hAnsi="ＭＳ 明朝" w:eastAsia="ＭＳ 明朝"/>
          <w:sz w:val="24"/>
        </w:rPr>
        <w:t>千人未満の自治体の平均と比較すると高い水準です。前年度と比較すると</w:t>
      </w:r>
      <w:r>
        <w:rPr>
          <w:rFonts w:hint="eastAsia" w:ascii="ＭＳ 明朝" w:hAnsi="ＭＳ 明朝" w:eastAsia="ＭＳ 明朝"/>
          <w:sz w:val="24"/>
        </w:rPr>
        <w:t>2.2</w:t>
      </w:r>
      <w:r>
        <w:rPr>
          <w:rFonts w:hint="eastAsia" w:ascii="ＭＳ 明朝" w:hAnsi="ＭＳ 明朝" w:eastAsia="ＭＳ 明朝"/>
          <w:sz w:val="24"/>
        </w:rPr>
        <w:t>ポイント減少となっています。</w:t>
      </w:r>
    </w:p>
    <w:p>
      <w:pPr>
        <w:pStyle w:val="0"/>
        <w:ind w:left="210" w:leftChars="100" w:firstLine="220" w:firstLineChars="100"/>
        <w:rPr>
          <w:rFonts w:hint="default" w:asciiTheme="majorEastAsia" w:hAnsiTheme="majorEastAsia" w:eastAsiaTheme="majorEastAsia"/>
          <w:kern w:val="0"/>
          <w:sz w:val="22"/>
        </w:rPr>
      </w:pPr>
    </w:p>
    <w:p>
      <w:pPr>
        <w:pStyle w:val="0"/>
        <w:rPr>
          <w:rFonts w:hint="default" w:ascii="HGP創英角ｺﾞｼｯｸUB" w:hAnsi="HGP創英角ｺﾞｼｯｸUB" w:eastAsia="HGP創英角ｺﾞｼｯｸUB"/>
          <w:color w:val="003399"/>
          <w:kern w:val="0"/>
          <w:sz w:val="20"/>
        </w:rPr>
      </w:pPr>
      <w:r>
        <w:rPr>
          <w:rFonts w:hint="eastAsia" w:ascii="HGP創英角ｺﾞｼｯｸUB" w:hAnsi="HGP創英角ｺﾞｼｯｸUB" w:eastAsia="HGP創英角ｺﾞｼｯｸUB"/>
          <w:color w:val="003399"/>
          <w:kern w:val="0"/>
          <w:sz w:val="24"/>
        </w:rPr>
        <w:t>■純資産比率の状況　　　　　　　　　　　　　　　　　　　　　　　　　　　　　　　　　　　　　　　</w:t>
      </w:r>
    </w:p>
    <w:p>
      <w:pPr>
        <w:pStyle w:val="0"/>
        <w:jc w:val="center"/>
        <w:rPr>
          <w:rFonts w:hint="default" w:ascii="HGP創英角ｺﾞｼｯｸUB" w:hAnsi="HGP創英角ｺﾞｼｯｸUB" w:eastAsia="HGP創英角ｺﾞｼｯｸUB"/>
          <w:color w:val="003399"/>
          <w:kern w:val="0"/>
          <w:sz w:val="24"/>
        </w:rPr>
      </w:pPr>
      <w:r>
        <w:rPr>
          <w:rFonts w:hint="default"/>
        </w:rPr>
        <w:drawing>
          <wp:inline distT="0" distB="0" distL="0" distR="0">
            <wp:extent cx="6192520" cy="1126490"/>
            <wp:effectExtent l="0" t="0" r="0" b="0"/>
            <wp:docPr id="1066" name="Picture 10"/>
            <a:graphic xmlns:a="http://schemas.openxmlformats.org/drawingml/2006/main">
              <a:graphicData uri="http://schemas.openxmlformats.org/drawingml/2006/picture">
                <pic:pic xmlns:pic="http://schemas.openxmlformats.org/drawingml/2006/picture">
                  <pic:nvPicPr>
                    <pic:cNvPr id="1066" name="Picture 10"/>
                    <pic:cNvPicPr>
                      <a:picLocks noChangeAspect="1" noChangeArrowheads="1"/>
                    </pic:cNvPicPr>
                  </pic:nvPicPr>
                  <pic:blipFill>
                    <a:blip r:embed="rId15"/>
                    <a:stretch>
                      <a:fillRect/>
                    </a:stretch>
                  </pic:blipFill>
                  <pic:spPr>
                    <a:xfrm>
                      <a:off x="0" y="0"/>
                      <a:ext cx="6192520" cy="1126490"/>
                    </a:xfrm>
                    <a:prstGeom prst="rect">
                      <a:avLst/>
                    </a:prstGeom>
                    <a:noFill/>
                    <a:ln>
                      <a:noFill/>
                    </a:ln>
                  </pic:spPr>
                </pic:pic>
              </a:graphicData>
            </a:graphic>
          </wp:inline>
        </w:drawing>
      </w:r>
    </w:p>
    <w:p>
      <w:pPr>
        <w:pStyle w:val="0"/>
        <w:ind w:left="240" w:hanging="240" w:hangingChars="100"/>
        <w:rPr>
          <w:rFonts w:hint="default" w:asciiTheme="minorEastAsia" w:hAnsiTheme="minorEastAsia"/>
          <w:kern w:val="0"/>
          <w:sz w:val="24"/>
        </w:rPr>
      </w:pPr>
      <w:r>
        <w:rPr>
          <w:rFonts w:hint="eastAsia" w:asciiTheme="minorEastAsia" w:hAnsiTheme="minorEastAsia"/>
          <w:kern w:val="0"/>
          <w:sz w:val="24"/>
        </w:rPr>
        <w:t>　</w:t>
      </w:r>
    </w:p>
    <w:p>
      <w:pPr>
        <w:pStyle w:val="0"/>
        <w:ind w:left="240" w:hanging="240" w:hangingChars="100"/>
        <w:rPr>
          <w:rFonts w:hint="default" w:asciiTheme="minorEastAsia" w:hAnsiTheme="minorEastAsia"/>
          <w:kern w:val="0"/>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今後全国的な指標も公表されるため、全国的な比較や道内、管内での比較を行います。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下記は、資産形成に対して地方債の残高がどの程度含まれているのかをみるものです。資産に対して、地方債残高の割合をみると、占冠村は</w:t>
      </w:r>
      <w:r>
        <w:rPr>
          <w:rFonts w:hint="eastAsia" w:ascii="ＭＳ 明朝" w:hAnsi="ＭＳ 明朝" w:eastAsia="ＭＳ 明朝"/>
          <w:sz w:val="24"/>
        </w:rPr>
        <w:t>19.1</w:t>
      </w:r>
      <w:r>
        <w:rPr>
          <w:rFonts w:hint="eastAsia" w:ascii="ＭＳ 明朝" w:hAnsi="ＭＳ 明朝" w:eastAsia="ＭＳ 明朝"/>
          <w:sz w:val="24"/>
        </w:rPr>
        <w:t>％で他団体と比較すると地方債の割合は人口</w:t>
      </w:r>
      <w:r>
        <w:rPr>
          <w:rFonts w:hint="eastAsia" w:ascii="ＭＳ 明朝" w:hAnsi="ＭＳ 明朝" w:eastAsia="ＭＳ 明朝"/>
          <w:sz w:val="24"/>
        </w:rPr>
        <w:t>5</w:t>
      </w:r>
      <w:r>
        <w:rPr>
          <w:rFonts w:hint="eastAsia" w:ascii="ＭＳ 明朝" w:hAnsi="ＭＳ 明朝" w:eastAsia="ＭＳ 明朝"/>
          <w:sz w:val="24"/>
        </w:rPr>
        <w:t>千人未満の自治体平均より高い水準です。</w:t>
      </w:r>
    </w:p>
    <w:p>
      <w:pPr>
        <w:pStyle w:val="0"/>
        <w:ind w:left="240" w:hanging="240" w:hangingChars="100"/>
        <w:rPr>
          <w:rFonts w:hint="default" w:asciiTheme="minorEastAsia" w:hAnsiTheme="minorEastAsia"/>
          <w:kern w:val="0"/>
          <w:sz w:val="24"/>
        </w:rPr>
      </w:pPr>
    </w:p>
    <w:p>
      <w:pPr>
        <w:pStyle w:val="0"/>
        <w:rPr>
          <w:rFonts w:hint="default" w:ascii="HGP創英角ｺﾞｼｯｸUB" w:hAnsi="HGP創英角ｺﾞｼｯｸUB" w:eastAsia="HGP創英角ｺﾞｼｯｸUB"/>
          <w:color w:val="003399"/>
          <w:kern w:val="0"/>
          <w:sz w:val="20"/>
        </w:rPr>
      </w:pPr>
      <w:r>
        <w:rPr>
          <w:rFonts w:hint="eastAsia" w:ascii="HGP創英角ｺﾞｼｯｸUB" w:hAnsi="HGP創英角ｺﾞｼｯｸUB" w:eastAsia="HGP創英角ｺﾞｼｯｸUB"/>
          <w:color w:val="003399"/>
          <w:kern w:val="0"/>
          <w:sz w:val="24"/>
        </w:rPr>
        <w:t>■参考：資産合計対地方債割合　　　　　　　　　　　　　　　　　　　　　　　　　　　　　　　　</w:t>
      </w:r>
    </w:p>
    <w:p>
      <w:pPr>
        <w:pStyle w:val="0"/>
        <w:rPr>
          <w:rFonts w:hint="default" w:ascii="HGP創英角ｺﾞｼｯｸUB" w:hAnsi="HGP創英角ｺﾞｼｯｸUB" w:eastAsia="HGP創英角ｺﾞｼｯｸUB"/>
          <w:color w:val="003399"/>
          <w:kern w:val="0"/>
          <w:sz w:val="24"/>
        </w:rPr>
      </w:pPr>
      <w:r>
        <w:rPr>
          <w:rFonts w:hint="default"/>
        </w:rPr>
        <w:drawing>
          <wp:inline distT="0" distB="0" distL="0" distR="0">
            <wp:extent cx="6192520" cy="845820"/>
            <wp:effectExtent l="0" t="0" r="0" b="0"/>
            <wp:docPr id="1067" name="Picture 12"/>
            <a:graphic xmlns:a="http://schemas.openxmlformats.org/drawingml/2006/main">
              <a:graphicData uri="http://schemas.openxmlformats.org/drawingml/2006/picture">
                <pic:pic xmlns:pic="http://schemas.openxmlformats.org/drawingml/2006/picture">
                  <pic:nvPicPr>
                    <pic:cNvPr id="1067" name="Picture 12"/>
                    <pic:cNvPicPr>
                      <a:picLocks noChangeAspect="1" noChangeArrowheads="1"/>
                    </pic:cNvPicPr>
                  </pic:nvPicPr>
                  <pic:blipFill>
                    <a:blip r:embed="rId16"/>
                    <a:stretch>
                      <a:fillRect/>
                    </a:stretch>
                  </pic:blipFill>
                  <pic:spPr>
                    <a:xfrm>
                      <a:off x="0" y="0"/>
                      <a:ext cx="6192520" cy="845820"/>
                    </a:xfrm>
                    <a:prstGeom prst="rect">
                      <a:avLst/>
                    </a:prstGeom>
                    <a:noFill/>
                    <a:ln>
                      <a:noFill/>
                    </a:ln>
                  </pic:spPr>
                </pic:pic>
              </a:graphicData>
            </a:graphic>
          </wp:inline>
        </w:drawing>
      </w:r>
    </w:p>
    <w:p>
      <w:pPr>
        <w:pStyle w:val="0"/>
        <w:rPr>
          <w:rFonts w:hint="default" w:asciiTheme="minorEastAsia" w:hAnsiTheme="minorEastAsia"/>
          <w:kern w:val="0"/>
          <w:sz w:val="24"/>
        </w:rPr>
      </w:pPr>
      <w:r>
        <w:rPr>
          <w:rFonts w:hint="eastAsia" w:asciiTheme="minorEastAsia" w:hAnsiTheme="minorEastAsia"/>
          <w:kern w:val="0"/>
          <w:sz w:val="24"/>
        </w:rPr>
        <w:br w:type="page"/>
      </w:r>
    </w:p>
    <w:p>
      <w:pPr>
        <w:pStyle w:val="0"/>
        <w:ind w:left="280" w:hanging="280" w:hangingChars="100"/>
        <w:rPr>
          <w:rFonts w:hint="default" w:asciiTheme="minorEastAsia" w:hAnsiTheme="minorEastAsia"/>
          <w:kern w:val="0"/>
          <w:sz w:val="28"/>
        </w:rPr>
      </w:pPr>
      <w:r>
        <w:rPr>
          <w:rFonts w:hint="eastAsia" w:ascii="メイリオ" w:hAnsi="メイリオ" w:eastAsia="メイリオ"/>
          <w:color w:val="ED7D31" w:themeColor="accent2"/>
          <w:kern w:val="0"/>
          <w:sz w:val="28"/>
        </w:rPr>
        <w:t>（２）</w:t>
      </w:r>
      <w:r>
        <w:rPr>
          <w:rFonts w:hint="eastAsia" w:ascii="メイリオ" w:hAnsi="メイリオ" w:eastAsia="メイリオ"/>
          <w:kern w:val="0"/>
          <w:sz w:val="28"/>
        </w:rPr>
        <w:t>行政コスト計算書</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行政コスト計算書は、１年間の行政運営コストのうち、福祉サービスやごみの収集にかかる経費など、資産形成につながらない行政コストを業務費用として①人件費、②物件費等、③その他の業務費用、業務費用以外に移転費用に区分して表示したもので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行政コスト計算書は、企業会計でいう損益計算書にあたるものです。ただし、公会計でいう行政コスト計算書は、損益をみることが目的ではなく、住民が受ける行政サービスのコスト（原価）計算に重点が置かれてい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例えば、官庁会計の歳入歳出決算書では、資産形成に関わる支出も単年度の行政サービスに関わる支出も、すべてその年度の歳入歳出を対象として収支を計算します。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一方で、地方公会計では、普通建設事業費や地方債償還費は資産・負債の増加や減少であり、費用の発生ではないので、行政コスト計算書には計上されません。また、歳入歳出決算書では計上されない減価償却費や退職手当引当金繰入等は、地方公会計では、期間損益の観点から、費用の発生として行政コスト計算書に計上され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経常費用を経常収益から差引いた純経常行政コストは、行政サービス提供にかかったコストから利用者の負担を差引いた純粋なコストを示します。</w:t>
      </w:r>
    </w:p>
    <w:p>
      <w:pPr>
        <w:pStyle w:val="0"/>
        <w:ind w:firstLine="220" w:firstLineChars="100"/>
        <w:rPr>
          <w:rFonts w:hint="default" w:asciiTheme="majorEastAsia" w:hAnsiTheme="majorEastAsia" w:eastAsiaTheme="majorEastAsia"/>
          <w:sz w:val="22"/>
        </w:rPr>
      </w:pPr>
    </w:p>
    <w:tbl>
      <w:tblPr>
        <w:tblStyle w:val="11"/>
        <w:tblW w:w="9639" w:type="dxa"/>
        <w:jc w:val="center"/>
        <w:tblInd w:w="0" w:type="dxa"/>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Layout w:type="fixed"/>
        <w:tblCellMar>
          <w:top w:w="113" w:type="dxa"/>
          <w:bottom w:w="113" w:type="dxa"/>
        </w:tblCellMar>
        <w:tblLook w:firstRow="1" w:lastRow="1" w:firstColumn="1" w:lastColumn="1" w:noHBand="0" w:noVBand="0" w:val="01E0"/>
      </w:tblPr>
      <w:tblGrid>
        <w:gridCol w:w="9639"/>
      </w:tblGrid>
      <w:tr>
        <w:trPr>
          <w:trHeight w:val="3920" w:hRule="atLeast"/>
        </w:trPr>
        <w:tc>
          <w:tcPr>
            <w:tcW w:w="9639" w:type="dxa"/>
            <w:shd w:val="thinHorzStripe" w:color="FFFFF0" w:fill="auto"/>
            <w:vAlign w:val="top"/>
          </w:tcPr>
          <w:p>
            <w:pPr>
              <w:pStyle w:val="0"/>
              <w:snapToGrid w:val="0"/>
              <w:rPr>
                <w:rFonts w:hint="default" w:ascii="MS UI Gothic" w:hAnsi="MS UI Gothic" w:eastAsia="MS UI Gothic"/>
                <w:sz w:val="24"/>
              </w:rPr>
            </w:pPr>
            <w:r>
              <w:rPr>
                <w:rFonts w:hint="eastAsia" w:ascii="MS UI Gothic" w:hAnsi="MS UI Gothic" w:eastAsia="MS UI Gothic"/>
                <w:b w:val="1"/>
                <w:color w:val="F79646"/>
                <w:sz w:val="24"/>
              </w:rPr>
              <w:t>◆</w:t>
            </w:r>
            <w:r>
              <w:rPr>
                <w:rFonts w:hint="eastAsia" w:ascii="MS UI Gothic" w:hAnsi="MS UI Gothic" w:eastAsia="MS UI Gothic"/>
                <w:sz w:val="24"/>
              </w:rPr>
              <w:t>費用　：行政サービス提供のために費やしたもの</w:t>
            </w:r>
          </w:p>
          <w:p>
            <w:pPr>
              <w:pStyle w:val="0"/>
              <w:snapToGrid w:val="0"/>
              <w:rPr>
                <w:rFonts w:hint="default" w:ascii="MS UI Gothic" w:hAnsi="MS UI Gothic" w:eastAsia="MS UI Gothic"/>
                <w:b w:val="1"/>
                <w:color w:val="F79646"/>
                <w:sz w:val="24"/>
              </w:rPr>
            </w:pPr>
          </w:p>
          <w:p>
            <w:pPr>
              <w:pStyle w:val="0"/>
              <w:snapToGrid w:val="0"/>
              <w:ind w:firstLine="241" w:firstLineChars="100"/>
              <w:rPr>
                <w:rFonts w:hint="default" w:ascii="MS UI Gothic" w:hAnsi="MS UI Gothic" w:eastAsia="MS UI Gothic"/>
                <w:sz w:val="24"/>
              </w:rPr>
            </w:pPr>
            <w:r>
              <w:rPr>
                <w:rFonts w:hint="eastAsia" w:ascii="MS UI Gothic" w:hAnsi="MS UI Gothic" w:eastAsia="MS UI Gothic"/>
                <w:b w:val="1"/>
                <w:color w:val="F79646"/>
                <w:sz w:val="24"/>
              </w:rPr>
              <w:t>①</w:t>
            </w:r>
            <w:r>
              <w:rPr>
                <w:rFonts w:hint="eastAsia" w:ascii="MS UI Gothic" w:hAnsi="MS UI Gothic" w:eastAsia="MS UI Gothic"/>
                <w:sz w:val="24"/>
              </w:rPr>
              <w:t>人件費</w:t>
            </w:r>
          </w:p>
          <w:p>
            <w:pPr>
              <w:pStyle w:val="0"/>
              <w:snapToGrid w:val="0"/>
              <w:ind w:left="420" w:leftChars="200"/>
              <w:rPr>
                <w:rFonts w:hint="default" w:ascii="MS UI Gothic" w:hAnsi="MS UI Gothic" w:eastAsia="MS UI Gothic"/>
                <w:sz w:val="24"/>
              </w:rPr>
            </w:pPr>
            <w:r>
              <w:rPr>
                <w:rFonts w:hint="eastAsia" w:ascii="MS UI Gothic" w:hAnsi="MS UI Gothic" w:eastAsia="MS UI Gothic"/>
                <w:sz w:val="24"/>
              </w:rPr>
              <w:t>職員給与や議員報酬、退職給付費用（当該年度に退職手当引当金として新たに繰り入れた額）など</w:t>
            </w:r>
          </w:p>
          <w:p>
            <w:pPr>
              <w:pStyle w:val="0"/>
              <w:snapToGrid w:val="0"/>
              <w:spacing w:before="90" w:beforeLines="25" w:beforeAutospacing="0"/>
              <w:rPr>
                <w:rFonts w:hint="default" w:ascii="MS UI Gothic" w:hAnsi="MS UI Gothic" w:eastAsia="MS UI Gothic"/>
                <w:b w:val="1"/>
                <w:color w:val="F79646"/>
                <w:sz w:val="24"/>
              </w:rPr>
            </w:pPr>
          </w:p>
          <w:p>
            <w:pPr>
              <w:pStyle w:val="0"/>
              <w:snapToGrid w:val="0"/>
              <w:spacing w:before="90" w:beforeLines="25" w:beforeAutospacing="0"/>
              <w:ind w:firstLine="241" w:firstLineChars="100"/>
              <w:rPr>
                <w:rFonts w:hint="default" w:ascii="MS UI Gothic" w:hAnsi="MS UI Gothic" w:eastAsia="MS UI Gothic"/>
                <w:sz w:val="24"/>
              </w:rPr>
            </w:pPr>
            <w:r>
              <w:rPr>
                <w:rFonts w:hint="eastAsia" w:ascii="MS UI Gothic" w:hAnsi="MS UI Gothic" w:eastAsia="MS UI Gothic"/>
                <w:b w:val="1"/>
                <w:color w:val="F79646"/>
                <w:sz w:val="24"/>
              </w:rPr>
              <w:t>②</w:t>
            </w:r>
            <w:r>
              <w:rPr>
                <w:rFonts w:hint="eastAsia" w:ascii="MS UI Gothic" w:hAnsi="MS UI Gothic" w:eastAsia="MS UI Gothic"/>
                <w:sz w:val="24"/>
              </w:rPr>
              <w:t>物件費等</w:t>
            </w:r>
          </w:p>
          <w:p>
            <w:pPr>
              <w:pStyle w:val="0"/>
              <w:snapToGrid w:val="0"/>
              <w:ind w:left="420" w:leftChars="200"/>
              <w:rPr>
                <w:rFonts w:hint="default" w:ascii="MS UI Gothic" w:hAnsi="MS UI Gothic" w:eastAsia="MS UI Gothic"/>
                <w:sz w:val="24"/>
              </w:rPr>
            </w:pPr>
            <w:r>
              <w:rPr>
                <w:rFonts w:hint="eastAsia" w:ascii="MS UI Gothic" w:hAnsi="MS UI Gothic" w:eastAsia="MS UI Gothic"/>
                <w:sz w:val="24"/>
              </w:rPr>
              <w:t>備品や消耗品、施設等の維持補修にかかる経費や減価償却費（社会資本の経年劣化等に伴う減少額）など</w:t>
            </w:r>
          </w:p>
          <w:p>
            <w:pPr>
              <w:pStyle w:val="0"/>
              <w:snapToGrid w:val="0"/>
              <w:ind w:left="420" w:leftChars="200"/>
              <w:rPr>
                <w:rFonts w:hint="default" w:ascii="MS UI Gothic" w:hAnsi="MS UI Gothic" w:eastAsia="MS UI Gothic"/>
                <w:sz w:val="24"/>
              </w:rPr>
            </w:pPr>
          </w:p>
          <w:p>
            <w:pPr>
              <w:pStyle w:val="0"/>
              <w:snapToGrid w:val="0"/>
              <w:spacing w:before="90" w:beforeLines="25" w:beforeAutospacing="0"/>
              <w:ind w:firstLine="241" w:firstLineChars="100"/>
              <w:rPr>
                <w:rFonts w:hint="default" w:ascii="MS UI Gothic" w:hAnsi="MS UI Gothic" w:eastAsia="MS UI Gothic"/>
                <w:sz w:val="24"/>
              </w:rPr>
            </w:pPr>
            <w:r>
              <w:rPr>
                <w:rFonts w:hint="eastAsia" w:ascii="MS UI Gothic" w:hAnsi="MS UI Gothic" w:eastAsia="MS UI Gothic"/>
                <w:b w:val="1"/>
                <w:color w:val="F79646"/>
                <w:sz w:val="24"/>
              </w:rPr>
              <w:t>③</w:t>
            </w:r>
            <w:r>
              <w:rPr>
                <w:rFonts w:hint="eastAsia" w:ascii="MS UI Gothic" w:hAnsi="MS UI Gothic" w:eastAsia="MS UI Gothic"/>
                <w:sz w:val="24"/>
              </w:rPr>
              <w:t>その他業務費用</w:t>
            </w:r>
          </w:p>
          <w:p>
            <w:pPr>
              <w:pStyle w:val="0"/>
              <w:snapToGrid w:val="0"/>
              <w:ind w:firstLine="480" w:firstLineChars="200"/>
              <w:rPr>
                <w:rFonts w:hint="default" w:ascii="MS UI Gothic" w:hAnsi="MS UI Gothic" w:eastAsia="MS UI Gothic"/>
                <w:sz w:val="24"/>
              </w:rPr>
            </w:pPr>
            <w:r>
              <w:rPr>
                <w:rFonts w:hint="eastAsia" w:ascii="MS UI Gothic" w:hAnsi="MS UI Gothic" w:eastAsia="MS UI Gothic"/>
                <w:sz w:val="24"/>
              </w:rPr>
              <w:t>支払利息、徴収不能引当金繰入額、市町村債償還の利子など</w:t>
            </w:r>
          </w:p>
          <w:p>
            <w:pPr>
              <w:pStyle w:val="0"/>
              <w:snapToGrid w:val="0"/>
              <w:spacing w:before="90" w:beforeLines="25" w:beforeAutospacing="0"/>
              <w:rPr>
                <w:rFonts w:hint="default" w:ascii="MS UI Gothic" w:hAnsi="MS UI Gothic" w:eastAsia="MS UI Gothic"/>
                <w:b w:val="1"/>
                <w:color w:val="F79646"/>
                <w:sz w:val="24"/>
              </w:rPr>
            </w:pPr>
          </w:p>
          <w:p>
            <w:pPr>
              <w:pStyle w:val="0"/>
              <w:snapToGrid w:val="0"/>
              <w:spacing w:before="90" w:beforeLines="25" w:beforeAutospacing="0"/>
              <w:ind w:firstLine="241" w:firstLineChars="100"/>
              <w:rPr>
                <w:rFonts w:hint="default" w:ascii="MS UI Gothic" w:hAnsi="MS UI Gothic" w:eastAsia="MS UI Gothic"/>
                <w:sz w:val="24"/>
              </w:rPr>
            </w:pPr>
            <w:r>
              <w:rPr>
                <w:rFonts w:hint="eastAsia" w:ascii="MS UI Gothic" w:hAnsi="MS UI Gothic" w:eastAsia="MS UI Gothic"/>
                <w:b w:val="1"/>
                <w:color w:val="F79646"/>
                <w:sz w:val="24"/>
              </w:rPr>
              <w:t>④</w:t>
            </w:r>
            <w:r>
              <w:rPr>
                <w:rFonts w:hint="eastAsia" w:ascii="MS UI Gothic" w:hAnsi="MS UI Gothic" w:eastAsia="MS UI Gothic"/>
                <w:sz w:val="24"/>
              </w:rPr>
              <w:t>移転費用</w:t>
            </w:r>
          </w:p>
          <w:p>
            <w:pPr>
              <w:pStyle w:val="0"/>
              <w:ind w:left="1140" w:leftChars="200" w:hanging="720" w:hangingChars="300"/>
              <w:rPr>
                <w:rFonts w:hint="default" w:ascii="MS UI Gothic" w:hAnsi="MS UI Gothic" w:eastAsia="MS UI Gothic"/>
                <w:sz w:val="24"/>
              </w:rPr>
            </w:pPr>
            <w:r>
              <w:rPr>
                <w:rFonts w:hint="eastAsia" w:ascii="MS UI Gothic" w:hAnsi="MS UI Gothic" w:eastAsia="MS UI Gothic"/>
                <w:sz w:val="24"/>
              </w:rPr>
              <w:t>他会計への支出額、補助金等、社会保障給付、他団体への資産整備補助金など</w:t>
            </w:r>
          </w:p>
          <w:p>
            <w:pPr>
              <w:pStyle w:val="0"/>
              <w:ind w:left="1205" w:hanging="1205" w:hangingChars="500"/>
              <w:rPr>
                <w:rFonts w:hint="default" w:ascii="MS UI Gothic" w:hAnsi="MS UI Gothic" w:eastAsia="MS UI Gothic"/>
                <w:b w:val="1"/>
                <w:color w:val="F79646"/>
                <w:sz w:val="24"/>
              </w:rPr>
            </w:pPr>
          </w:p>
          <w:p>
            <w:pPr>
              <w:pStyle w:val="0"/>
              <w:ind w:left="1205" w:hanging="1205" w:hangingChars="500"/>
              <w:rPr>
                <w:rFonts w:hint="default" w:ascii="MS UI Gothic" w:hAnsi="MS UI Gothic" w:eastAsia="MS UI Gothic"/>
                <w:sz w:val="24"/>
              </w:rPr>
            </w:pPr>
            <w:r>
              <w:rPr>
                <w:rFonts w:hint="eastAsia" w:ascii="MS UI Gothic" w:hAnsi="MS UI Gothic" w:eastAsia="MS UI Gothic"/>
                <w:b w:val="1"/>
                <w:color w:val="F79646"/>
                <w:sz w:val="24"/>
              </w:rPr>
              <w:t>◆</w:t>
            </w:r>
            <w:r>
              <w:rPr>
                <w:rFonts w:hint="eastAsia" w:ascii="MS UI Gothic" w:hAnsi="MS UI Gothic" w:eastAsia="MS UI Gothic"/>
                <w:sz w:val="24"/>
              </w:rPr>
              <w:t>収益　：直接サービス提供により住民等がその対価として支払い、自治体が得られるもの</w:t>
            </w:r>
          </w:p>
        </w:tc>
      </w:tr>
    </w:tbl>
    <w:p>
      <w:pPr>
        <w:pStyle w:val="0"/>
        <w:ind w:right="960"/>
        <w:rPr>
          <w:rFonts w:hint="default" w:asciiTheme="majorEastAsia" w:hAnsiTheme="majorEastAsia" w:eastAsiaTheme="majorEastAsia"/>
          <w:kern w:val="0"/>
          <w:sz w:val="24"/>
        </w:rPr>
      </w:pPr>
      <w:r>
        <w:rPr>
          <w:rFonts w:hint="default" w:asciiTheme="majorEastAsia" w:hAnsiTheme="majorEastAsia" w:eastAsiaTheme="majorEastAsia"/>
          <w:kern w:val="0"/>
          <w:sz w:val="24"/>
        </w:rPr>
        <w:br w:type="page"/>
      </w:r>
    </w:p>
    <w:p>
      <w:pPr>
        <w:pStyle w:val="15"/>
        <w:numPr>
          <w:ilvl w:val="0"/>
          <w:numId w:val="2"/>
        </w:numPr>
        <w:ind w:leftChars="0" w:right="960"/>
        <w:rPr>
          <w:rFonts w:hint="default" w:ascii="メイリオ" w:hAnsi="メイリオ" w:eastAsia="メイリオ"/>
          <w:kern w:val="0"/>
          <w:sz w:val="24"/>
        </w:rPr>
      </w:pPr>
      <w:r>
        <w:rPr>
          <w:rFonts w:hint="eastAsia" w:ascii="メイリオ" w:hAnsi="メイリオ" w:eastAsia="メイリオ"/>
          <w:kern w:val="0"/>
          <w:sz w:val="24"/>
        </w:rPr>
        <w:t>令和元年度行政コスト計算書（単位：千円）</w:t>
      </w:r>
    </w:p>
    <w:p>
      <w:pPr>
        <w:pStyle w:val="20"/>
        <w:spacing w:line="240" w:lineRule="auto"/>
        <w:jc w:val="center"/>
        <w:rPr>
          <w:rFonts w:hint="default" w:asciiTheme="majorEastAsia" w:hAnsiTheme="majorEastAsia" w:eastAsiaTheme="majorEastAsia"/>
          <w:sz w:val="22"/>
        </w:rPr>
      </w:pPr>
      <w:r>
        <w:rPr>
          <w:rFonts w:hint="default"/>
        </w:rPr>
        <w:drawing>
          <wp:inline distT="0" distB="0" distL="0" distR="0">
            <wp:extent cx="4743450" cy="6116955"/>
            <wp:effectExtent l="0" t="0" r="0" b="0"/>
            <wp:docPr id="1068" name="Picture 13"/>
            <a:graphic xmlns:a="http://schemas.openxmlformats.org/drawingml/2006/main">
              <a:graphicData uri="http://schemas.openxmlformats.org/drawingml/2006/picture">
                <pic:pic xmlns:pic="http://schemas.openxmlformats.org/drawingml/2006/picture">
                  <pic:nvPicPr>
                    <pic:cNvPr id="1068" name="Picture 13"/>
                    <pic:cNvPicPr>
                      <a:picLocks noChangeAspect="1" noChangeArrowheads="1"/>
                    </pic:cNvPicPr>
                  </pic:nvPicPr>
                  <pic:blipFill>
                    <a:blip r:embed="rId17"/>
                    <a:stretch>
                      <a:fillRect/>
                    </a:stretch>
                  </pic:blipFill>
                  <pic:spPr>
                    <a:xfrm>
                      <a:off x="0" y="0"/>
                      <a:ext cx="4743450" cy="6116955"/>
                    </a:xfrm>
                    <a:prstGeom prst="rect">
                      <a:avLst/>
                    </a:prstGeom>
                    <a:noFill/>
                    <a:ln>
                      <a:noFill/>
                    </a:ln>
                  </pic:spPr>
                </pic:pic>
              </a:graphicData>
            </a:graphic>
          </wp:inline>
        </w:drawing>
      </w:r>
    </w:p>
    <w:p>
      <w:pPr>
        <w:pStyle w:val="0"/>
        <w:spacing w:line="0" w:lineRule="atLeast"/>
        <w:ind w:firstLine="1800" w:firstLineChars="1000"/>
        <w:rPr>
          <w:rFonts w:hint="default" w:ascii="ＭＳ ゴシック" w:hAnsi="ＭＳ ゴシック" w:eastAsia="ＭＳ ゴシック"/>
          <w:sz w:val="18"/>
        </w:rPr>
      </w:pPr>
      <w:r>
        <w:rPr>
          <w:rFonts w:hint="eastAsia" w:ascii="ＭＳ ゴシック" w:hAnsi="ＭＳ ゴシック" w:eastAsia="ＭＳ ゴシック"/>
          <w:sz w:val="18"/>
        </w:rPr>
        <w:t>※数値は、四捨五入しているため、合計値が一部合致しない場合があります。</w:t>
      </w:r>
    </w:p>
    <w:p>
      <w:pPr>
        <w:pStyle w:val="0"/>
        <w:spacing w:line="0" w:lineRule="atLeast"/>
        <w:ind w:firstLine="1980" w:firstLineChars="1100"/>
        <w:rPr>
          <w:rFonts w:hint="default" w:ascii="ＭＳ ゴシック" w:hAnsi="ＭＳ ゴシック" w:eastAsia="ＭＳ ゴシック"/>
          <w:sz w:val="18"/>
        </w:rPr>
      </w:pPr>
      <w:r>
        <w:rPr>
          <w:rFonts w:hint="eastAsia" w:ascii="ＭＳ ゴシック" w:hAnsi="ＭＳ ゴシック" w:eastAsia="ＭＳ ゴシック"/>
          <w:sz w:val="18"/>
        </w:rPr>
        <w:t>全体財務書類の他会計への繰出金は内部取引のため相殺消去処理しています。</w:t>
      </w:r>
    </w:p>
    <w:p>
      <w:pPr>
        <w:pStyle w:val="20"/>
        <w:spacing w:line="240" w:lineRule="auto"/>
        <w:ind w:firstLine="240" w:firstLineChars="100"/>
        <w:rPr>
          <w:rFonts w:hint="default" w:ascii="ＭＳ 明朝" w:hAnsi="ＭＳ 明朝" w:eastAsia="ＭＳ 明朝"/>
          <w:spacing w:val="0"/>
          <w:sz w:val="24"/>
        </w:rPr>
      </w:pPr>
    </w:p>
    <w:p>
      <w:pPr>
        <w:pStyle w:val="20"/>
        <w:spacing w:line="240" w:lineRule="auto"/>
        <w:ind w:firstLine="240" w:firstLineChars="100"/>
        <w:jc w:val="left"/>
        <w:rPr>
          <w:rFonts w:hint="default" w:ascii="ＭＳ 明朝" w:hAnsi="ＭＳ 明朝" w:eastAsia="ＭＳ 明朝"/>
          <w:sz w:val="24"/>
        </w:rPr>
      </w:pPr>
      <w:r>
        <w:rPr>
          <w:rFonts w:hint="eastAsia" w:ascii="ＭＳ 明朝" w:hAnsi="ＭＳ 明朝" w:eastAsia="ＭＳ 明朝"/>
          <w:spacing w:val="0"/>
          <w:sz w:val="24"/>
        </w:rPr>
        <w:t>令和元年度の経常費用は一般会計等で約</w:t>
      </w:r>
      <w:r>
        <w:rPr>
          <w:rFonts w:hint="eastAsia" w:ascii="ＭＳ 明朝" w:hAnsi="ＭＳ 明朝" w:eastAsia="ＭＳ 明朝"/>
          <w:spacing w:val="0"/>
          <w:sz w:val="24"/>
        </w:rPr>
        <w:t>31</w:t>
      </w:r>
      <w:r>
        <w:rPr>
          <w:rFonts w:hint="eastAsia" w:ascii="ＭＳ 明朝" w:hAnsi="ＭＳ 明朝" w:eastAsia="ＭＳ 明朝"/>
          <w:spacing w:val="0"/>
          <w:sz w:val="24"/>
        </w:rPr>
        <w:t>億</w:t>
      </w:r>
      <w:r>
        <w:rPr>
          <w:rFonts w:hint="eastAsia" w:ascii="ＭＳ 明朝" w:hAnsi="ＭＳ 明朝" w:eastAsia="ＭＳ 明朝"/>
          <w:spacing w:val="0"/>
          <w:sz w:val="24"/>
        </w:rPr>
        <w:t>4</w:t>
      </w:r>
      <w:r>
        <w:rPr>
          <w:rFonts w:hint="eastAsia" w:ascii="ＭＳ 明朝" w:hAnsi="ＭＳ 明朝" w:eastAsia="ＭＳ 明朝"/>
          <w:spacing w:val="0"/>
          <w:sz w:val="24"/>
        </w:rPr>
        <w:t>百万円となっています。一方、行政サービス利用に対する対価として住民が負担する使用料や手数料などの経常収益は一般会計等で約</w:t>
      </w:r>
      <w:r>
        <w:rPr>
          <w:rFonts w:hint="eastAsia" w:ascii="ＭＳ 明朝" w:hAnsi="ＭＳ 明朝" w:eastAsia="ＭＳ 明朝"/>
          <w:spacing w:val="0"/>
          <w:sz w:val="24"/>
        </w:rPr>
        <w:t>1</w:t>
      </w:r>
      <w:r>
        <w:rPr>
          <w:rFonts w:hint="eastAsia" w:ascii="ＭＳ 明朝" w:hAnsi="ＭＳ 明朝" w:eastAsia="ＭＳ 明朝"/>
          <w:spacing w:val="0"/>
          <w:sz w:val="24"/>
        </w:rPr>
        <w:t>億</w:t>
      </w:r>
      <w:r>
        <w:rPr>
          <w:rFonts w:hint="eastAsia" w:ascii="ＭＳ 明朝" w:hAnsi="ＭＳ 明朝" w:eastAsia="ＭＳ 明朝"/>
          <w:spacing w:val="0"/>
          <w:sz w:val="24"/>
        </w:rPr>
        <w:t>23</w:t>
      </w:r>
      <w:r>
        <w:rPr>
          <w:rFonts w:hint="eastAsia" w:ascii="ＭＳ 明朝" w:hAnsi="ＭＳ 明朝" w:eastAsia="ＭＳ 明朝"/>
          <w:spacing w:val="0"/>
          <w:sz w:val="24"/>
        </w:rPr>
        <w:t>百万円となっています。</w:t>
      </w:r>
      <w:r>
        <w:rPr>
          <w:rFonts w:hint="eastAsia" w:ascii="ＭＳ 明朝" w:hAnsi="ＭＳ 明朝" w:eastAsia="ＭＳ 明朝"/>
          <w:sz w:val="24"/>
        </w:rPr>
        <w:t>経常費用から経常収益を引いた純経常行政コストは一般会計等で約</w:t>
      </w:r>
      <w:r>
        <w:rPr>
          <w:rFonts w:hint="eastAsia" w:ascii="ＭＳ 明朝" w:hAnsi="ＭＳ 明朝" w:eastAsia="ＭＳ 明朝"/>
          <w:sz w:val="24"/>
        </w:rPr>
        <w:t>29</w:t>
      </w:r>
      <w:r>
        <w:rPr>
          <w:rFonts w:hint="eastAsia" w:ascii="ＭＳ 明朝" w:hAnsi="ＭＳ 明朝" w:eastAsia="ＭＳ 明朝"/>
          <w:sz w:val="24"/>
        </w:rPr>
        <w:t>億</w:t>
      </w:r>
      <w:r>
        <w:rPr>
          <w:rFonts w:hint="eastAsia" w:ascii="ＭＳ 明朝" w:hAnsi="ＭＳ 明朝" w:eastAsia="ＭＳ 明朝"/>
          <w:sz w:val="24"/>
        </w:rPr>
        <w:t>81</w:t>
      </w:r>
      <w:r>
        <w:rPr>
          <w:rFonts w:hint="eastAsia" w:ascii="ＭＳ 明朝" w:hAnsi="ＭＳ 明朝" w:eastAsia="ＭＳ 明朝"/>
          <w:sz w:val="24"/>
        </w:rPr>
        <w:t>百万円、臨時損失及び臨時損益を加えた純行政コストは約</w:t>
      </w:r>
      <w:r>
        <w:rPr>
          <w:rFonts w:hint="eastAsia" w:ascii="ＭＳ 明朝" w:hAnsi="ＭＳ 明朝" w:eastAsia="ＭＳ 明朝"/>
          <w:sz w:val="24"/>
        </w:rPr>
        <w:t>29</w:t>
      </w:r>
      <w:r>
        <w:rPr>
          <w:rFonts w:hint="eastAsia" w:ascii="ＭＳ 明朝" w:hAnsi="ＭＳ 明朝" w:eastAsia="ＭＳ 明朝"/>
          <w:sz w:val="24"/>
        </w:rPr>
        <w:t>億</w:t>
      </w:r>
      <w:r>
        <w:rPr>
          <w:rFonts w:hint="eastAsia" w:ascii="ＭＳ 明朝" w:hAnsi="ＭＳ 明朝" w:eastAsia="ＭＳ 明朝"/>
          <w:sz w:val="24"/>
        </w:rPr>
        <w:t>78</w:t>
      </w:r>
      <w:r>
        <w:rPr>
          <w:rFonts w:hint="eastAsia" w:ascii="ＭＳ 明朝" w:hAnsi="ＭＳ 明朝" w:eastAsia="ＭＳ 明朝"/>
          <w:sz w:val="24"/>
        </w:rPr>
        <w:t>百万円となっています。また、全体会計における純行政コストは約</w:t>
      </w:r>
      <w:r>
        <w:rPr>
          <w:rFonts w:hint="eastAsia" w:ascii="ＭＳ 明朝" w:hAnsi="ＭＳ 明朝" w:eastAsia="ＭＳ 明朝"/>
          <w:sz w:val="24"/>
        </w:rPr>
        <w:t>30</w:t>
      </w:r>
      <w:r>
        <w:rPr>
          <w:rFonts w:hint="eastAsia" w:ascii="ＭＳ 明朝" w:hAnsi="ＭＳ 明朝" w:eastAsia="ＭＳ 明朝"/>
          <w:sz w:val="24"/>
        </w:rPr>
        <w:t>億</w:t>
      </w:r>
      <w:r>
        <w:rPr>
          <w:rFonts w:hint="eastAsia" w:ascii="ＭＳ 明朝" w:hAnsi="ＭＳ 明朝" w:eastAsia="ＭＳ 明朝"/>
          <w:sz w:val="24"/>
        </w:rPr>
        <w:t>62</w:t>
      </w:r>
      <w:r>
        <w:rPr>
          <w:rFonts w:hint="eastAsia" w:ascii="ＭＳ 明朝" w:hAnsi="ＭＳ 明朝" w:eastAsia="ＭＳ 明朝"/>
          <w:sz w:val="24"/>
        </w:rPr>
        <w:t>百万円、連結会計における純行政コストは約</w:t>
      </w:r>
      <w:r>
        <w:rPr>
          <w:rFonts w:hint="eastAsia" w:ascii="ＭＳ 明朝" w:hAnsi="ＭＳ 明朝" w:eastAsia="ＭＳ 明朝"/>
          <w:sz w:val="24"/>
        </w:rPr>
        <w:t>35</w:t>
      </w:r>
      <w:r>
        <w:rPr>
          <w:rFonts w:hint="eastAsia" w:ascii="ＭＳ 明朝" w:hAnsi="ＭＳ 明朝" w:eastAsia="ＭＳ 明朝"/>
          <w:sz w:val="24"/>
        </w:rPr>
        <w:t>億</w:t>
      </w:r>
      <w:r>
        <w:rPr>
          <w:rFonts w:hint="eastAsia" w:ascii="ＭＳ 明朝" w:hAnsi="ＭＳ 明朝" w:eastAsia="ＭＳ 明朝"/>
          <w:sz w:val="24"/>
        </w:rPr>
        <w:t>7</w:t>
      </w:r>
      <w:r>
        <w:rPr>
          <w:rFonts w:hint="eastAsia" w:ascii="ＭＳ 明朝" w:hAnsi="ＭＳ 明朝" w:eastAsia="ＭＳ 明朝"/>
          <w:sz w:val="24"/>
        </w:rPr>
        <w:t>百万円となっています。</w:t>
      </w:r>
    </w:p>
    <w:p>
      <w:pPr>
        <w:pStyle w:val="15"/>
        <w:numPr>
          <w:ilvl w:val="0"/>
          <w:numId w:val="2"/>
        </w:numPr>
        <w:ind w:leftChars="0"/>
        <w:rPr>
          <w:rFonts w:hint="default" w:ascii="メイリオ" w:hAnsi="メイリオ" w:eastAsia="メイリオ"/>
          <w:kern w:val="0"/>
          <w:sz w:val="24"/>
        </w:rPr>
      </w:pPr>
      <w:r>
        <w:rPr>
          <w:rFonts w:hint="eastAsia" w:ascii="メイリオ" w:hAnsi="メイリオ" w:eastAsia="メイリオ"/>
          <w:kern w:val="0"/>
          <w:sz w:val="24"/>
        </w:rPr>
        <w:t>行政コスト計算書　前年対比（単位：千円）</w:t>
      </w:r>
    </w:p>
    <w:p>
      <w:pPr>
        <w:pStyle w:val="0"/>
        <w:jc w:val="center"/>
        <w:rPr>
          <w:rFonts w:hint="default" w:ascii="ＭＳ 明朝" w:hAnsi="ＭＳ 明朝" w:eastAsia="ＭＳ 明朝"/>
          <w:sz w:val="24"/>
        </w:rPr>
      </w:pPr>
      <w:r>
        <w:rPr>
          <w:rFonts w:hint="default"/>
        </w:rPr>
        <w:drawing>
          <wp:inline distT="0" distB="0" distL="0" distR="0">
            <wp:extent cx="6192520" cy="4841875"/>
            <wp:effectExtent l="0" t="0" r="0" b="0"/>
            <wp:docPr id="1069" name="Picture 14"/>
            <a:graphic xmlns:a="http://schemas.openxmlformats.org/drawingml/2006/main">
              <a:graphicData uri="http://schemas.openxmlformats.org/drawingml/2006/picture">
                <pic:pic xmlns:pic="http://schemas.openxmlformats.org/drawingml/2006/picture">
                  <pic:nvPicPr>
                    <pic:cNvPr id="1069" name="Picture 14"/>
                    <pic:cNvPicPr>
                      <a:picLocks noChangeAspect="1" noChangeArrowheads="1"/>
                    </pic:cNvPicPr>
                  </pic:nvPicPr>
                  <pic:blipFill>
                    <a:blip r:embed="rId18"/>
                    <a:stretch>
                      <a:fillRect/>
                    </a:stretch>
                  </pic:blipFill>
                  <pic:spPr>
                    <a:xfrm>
                      <a:off x="0" y="0"/>
                      <a:ext cx="6192520" cy="4841875"/>
                    </a:xfrm>
                    <a:prstGeom prst="rect">
                      <a:avLst/>
                    </a:prstGeom>
                    <a:noFill/>
                    <a:ln>
                      <a:noFill/>
                    </a:ln>
                  </pic:spPr>
                </pic:pic>
              </a:graphicData>
            </a:graphic>
          </wp:inline>
        </w:drawing>
      </w:r>
    </w:p>
    <w:p>
      <w:pPr>
        <w:pStyle w:val="0"/>
        <w:spacing w:line="0" w:lineRule="atLeast"/>
        <w:ind w:firstLine="1620" w:firstLineChars="900"/>
        <w:rPr>
          <w:rFonts w:hint="default" w:ascii="ＭＳ ゴシック" w:hAnsi="ＭＳ ゴシック" w:eastAsia="ＭＳ ゴシック"/>
          <w:sz w:val="18"/>
        </w:rPr>
      </w:pPr>
      <w:r>
        <w:rPr>
          <w:rFonts w:hint="eastAsia" w:ascii="ＭＳ ゴシック" w:hAnsi="ＭＳ ゴシック" w:eastAsia="ＭＳ ゴシック"/>
          <w:sz w:val="18"/>
        </w:rPr>
        <w:t>※数値は、四捨五入しているため、合計値が一部合致しない場合があります。</w:t>
      </w:r>
    </w:p>
    <w:p>
      <w:pPr>
        <w:pStyle w:val="0"/>
        <w:spacing w:line="0" w:lineRule="atLeast"/>
        <w:ind w:firstLine="1620" w:firstLineChars="900"/>
        <w:rPr>
          <w:rFonts w:hint="default" w:ascii="ＭＳ ゴシック" w:hAnsi="ＭＳ ゴシック" w:eastAsia="ＭＳ ゴシック"/>
          <w:sz w:val="18"/>
        </w:rPr>
      </w:pPr>
      <w:r>
        <w:rPr>
          <w:rFonts w:hint="eastAsia" w:ascii="ＭＳ ゴシック" w:hAnsi="ＭＳ ゴシック" w:eastAsia="ＭＳ ゴシック"/>
          <w:sz w:val="18"/>
        </w:rPr>
        <w:t>全体財務書類の他会計への繰出金は内部取引のため相殺消去処理しています。</w:t>
      </w:r>
    </w:p>
    <w:p>
      <w:pPr>
        <w:pStyle w:val="0"/>
        <w:ind w:firstLine="240" w:firstLineChars="10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前年度と比較すると、経常費用は一般会計等で約</w:t>
      </w:r>
      <w:r>
        <w:rPr>
          <w:rFonts w:hint="eastAsia" w:ascii="ＭＳ 明朝" w:hAnsi="ＭＳ 明朝" w:eastAsia="ＭＳ 明朝"/>
          <w:sz w:val="24"/>
        </w:rPr>
        <w:t>52</w:t>
      </w:r>
      <w:r>
        <w:rPr>
          <w:rFonts w:hint="eastAsia" w:ascii="ＭＳ 明朝" w:hAnsi="ＭＳ 明朝" w:eastAsia="ＭＳ 明朝"/>
          <w:sz w:val="24"/>
        </w:rPr>
        <w:t>百万円（</w:t>
      </w:r>
      <w:r>
        <w:rPr>
          <w:rFonts w:hint="eastAsia" w:ascii="ＭＳ 明朝" w:hAnsi="ＭＳ 明朝" w:eastAsia="ＭＳ 明朝"/>
          <w:sz w:val="24"/>
        </w:rPr>
        <w:t>1.6</w:t>
      </w:r>
      <w:r>
        <w:rPr>
          <w:rFonts w:hint="default" w:ascii="ＭＳ 明朝" w:hAnsi="ＭＳ 明朝" w:eastAsia="ＭＳ 明朝"/>
          <w:sz w:val="24"/>
        </w:rPr>
        <w:t>%</w:t>
      </w:r>
      <w:r>
        <w:rPr>
          <w:rFonts w:hint="eastAsia" w:ascii="ＭＳ 明朝" w:hAnsi="ＭＳ 明朝" w:eastAsia="ＭＳ 明朝"/>
          <w:sz w:val="24"/>
        </w:rPr>
        <w:t>）の減少となっています。一方、行政サービス利用に対する対価として住民が負担する使用料や手数料などの経常収益は一般会計等で約</w:t>
      </w:r>
      <w:r>
        <w:rPr>
          <w:rFonts w:hint="eastAsia" w:ascii="ＭＳ 明朝" w:hAnsi="ＭＳ 明朝" w:eastAsia="ＭＳ 明朝"/>
          <w:sz w:val="24"/>
        </w:rPr>
        <w:t>1</w:t>
      </w:r>
      <w:r>
        <w:rPr>
          <w:rFonts w:hint="eastAsia" w:ascii="ＭＳ 明朝" w:hAnsi="ＭＳ 明朝" w:eastAsia="ＭＳ 明朝"/>
          <w:sz w:val="24"/>
        </w:rPr>
        <w:t>億</w:t>
      </w:r>
      <w:r>
        <w:rPr>
          <w:rFonts w:hint="eastAsia" w:ascii="ＭＳ 明朝" w:hAnsi="ＭＳ 明朝" w:eastAsia="ＭＳ 明朝"/>
          <w:sz w:val="24"/>
        </w:rPr>
        <w:t>14</w:t>
      </w:r>
      <w:r>
        <w:rPr>
          <w:rFonts w:hint="eastAsia" w:ascii="ＭＳ 明朝" w:hAnsi="ＭＳ 明朝" w:eastAsia="ＭＳ 明朝"/>
          <w:sz w:val="24"/>
        </w:rPr>
        <w:t>百万円（</w:t>
      </w:r>
      <w:r>
        <w:rPr>
          <w:rFonts w:hint="eastAsia" w:ascii="ＭＳ 明朝" w:hAnsi="ＭＳ 明朝" w:eastAsia="ＭＳ 明朝"/>
          <w:sz w:val="24"/>
        </w:rPr>
        <w:t>48.1</w:t>
      </w:r>
      <w:r>
        <w:rPr>
          <w:rFonts w:hint="default" w:ascii="ＭＳ 明朝" w:hAnsi="ＭＳ 明朝" w:eastAsia="ＭＳ 明朝"/>
          <w:sz w:val="24"/>
        </w:rPr>
        <w:t>%</w:t>
      </w:r>
      <w:r>
        <w:rPr>
          <w:rFonts w:hint="eastAsia" w:ascii="ＭＳ 明朝" w:hAnsi="ＭＳ 明朝" w:eastAsia="ＭＳ 明朝"/>
          <w:sz w:val="24"/>
        </w:rPr>
        <w:t>）減少となり、経常費用から経常収益を引いた純経常行政コストは一般会計等で約</w:t>
      </w:r>
      <w:r>
        <w:rPr>
          <w:rFonts w:hint="eastAsia" w:ascii="ＭＳ 明朝" w:hAnsi="ＭＳ 明朝" w:eastAsia="ＭＳ 明朝"/>
          <w:sz w:val="24"/>
        </w:rPr>
        <w:t>62</w:t>
      </w:r>
      <w:r>
        <w:rPr>
          <w:rFonts w:hint="eastAsia" w:ascii="ＭＳ 明朝" w:hAnsi="ＭＳ 明朝" w:eastAsia="ＭＳ 明朝"/>
          <w:sz w:val="24"/>
        </w:rPr>
        <w:t>百万円（</w:t>
      </w:r>
      <w:r>
        <w:rPr>
          <w:rFonts w:hint="eastAsia" w:ascii="ＭＳ 明朝" w:hAnsi="ＭＳ 明朝" w:eastAsia="ＭＳ 明朝"/>
          <w:sz w:val="24"/>
        </w:rPr>
        <w:t>2.1</w:t>
      </w:r>
      <w:r>
        <w:rPr>
          <w:rFonts w:hint="default" w:ascii="ＭＳ 明朝" w:hAnsi="ＭＳ 明朝" w:eastAsia="ＭＳ 明朝"/>
          <w:sz w:val="24"/>
        </w:rPr>
        <w:t>%</w:t>
      </w:r>
      <w:r>
        <w:rPr>
          <w:rFonts w:hint="eastAsia" w:ascii="ＭＳ 明朝" w:hAnsi="ＭＳ 明朝" w:eastAsia="ＭＳ 明朝"/>
          <w:sz w:val="24"/>
        </w:rPr>
        <w:t>）増加、臨時損益を加えた純行政コストは約</w:t>
      </w:r>
      <w:r>
        <w:rPr>
          <w:rFonts w:hint="eastAsia" w:ascii="ＭＳ 明朝" w:hAnsi="ＭＳ 明朝" w:eastAsia="ＭＳ 明朝"/>
          <w:sz w:val="24"/>
        </w:rPr>
        <w:t>69</w:t>
      </w:r>
      <w:r>
        <w:rPr>
          <w:rFonts w:hint="eastAsia" w:ascii="ＭＳ 明朝" w:hAnsi="ＭＳ 明朝" w:eastAsia="ＭＳ 明朝"/>
          <w:sz w:val="24"/>
        </w:rPr>
        <w:t>百万円（</w:t>
      </w:r>
      <w:r>
        <w:rPr>
          <w:rFonts w:hint="eastAsia" w:ascii="ＭＳ 明朝" w:hAnsi="ＭＳ 明朝" w:eastAsia="ＭＳ 明朝"/>
          <w:sz w:val="24"/>
        </w:rPr>
        <w:t>2.4</w:t>
      </w:r>
      <w:r>
        <w:rPr>
          <w:rFonts w:hint="default" w:ascii="ＭＳ 明朝" w:hAnsi="ＭＳ 明朝" w:eastAsia="ＭＳ 明朝"/>
          <w:sz w:val="24"/>
        </w:rPr>
        <w:t>%</w:t>
      </w:r>
      <w:r>
        <w:rPr>
          <w:rFonts w:hint="eastAsia" w:ascii="ＭＳ 明朝" w:hAnsi="ＭＳ 明朝" w:eastAsia="ＭＳ 明朝"/>
          <w:sz w:val="24"/>
        </w:rPr>
        <w:t>）増加となっています。また、全体会計における純行政コストは約</w:t>
      </w:r>
      <w:r>
        <w:rPr>
          <w:rFonts w:hint="eastAsia" w:ascii="ＭＳ 明朝" w:hAnsi="ＭＳ 明朝" w:eastAsia="ＭＳ 明朝"/>
          <w:sz w:val="24"/>
        </w:rPr>
        <w:t>77</w:t>
      </w:r>
      <w:r>
        <w:rPr>
          <w:rFonts w:hint="eastAsia" w:ascii="ＭＳ 明朝" w:hAnsi="ＭＳ 明朝" w:eastAsia="ＭＳ 明朝"/>
          <w:sz w:val="24"/>
        </w:rPr>
        <w:t>百万円（</w:t>
      </w:r>
      <w:r>
        <w:rPr>
          <w:rFonts w:hint="eastAsia" w:ascii="ＭＳ 明朝" w:hAnsi="ＭＳ 明朝" w:eastAsia="ＭＳ 明朝"/>
          <w:sz w:val="24"/>
        </w:rPr>
        <w:t>2.6</w:t>
      </w:r>
      <w:r>
        <w:rPr>
          <w:rFonts w:hint="default" w:ascii="ＭＳ 明朝" w:hAnsi="ＭＳ 明朝" w:eastAsia="ＭＳ 明朝"/>
          <w:sz w:val="24"/>
        </w:rPr>
        <w:t>%</w:t>
      </w:r>
      <w:r>
        <w:rPr>
          <w:rFonts w:hint="eastAsia" w:ascii="ＭＳ 明朝" w:hAnsi="ＭＳ 明朝" w:eastAsia="ＭＳ 明朝"/>
          <w:sz w:val="24"/>
        </w:rPr>
        <w:t>）増加、連結会計における純行政コストは約</w:t>
      </w:r>
      <w:r>
        <w:rPr>
          <w:rFonts w:hint="eastAsia" w:ascii="ＭＳ 明朝" w:hAnsi="ＭＳ 明朝" w:eastAsia="ＭＳ 明朝"/>
          <w:sz w:val="24"/>
        </w:rPr>
        <w:t>5</w:t>
      </w:r>
      <w:r>
        <w:rPr>
          <w:rFonts w:hint="eastAsia" w:ascii="ＭＳ 明朝" w:hAnsi="ＭＳ 明朝" w:eastAsia="ＭＳ 明朝"/>
          <w:sz w:val="24"/>
        </w:rPr>
        <w:t>億</w:t>
      </w:r>
      <w:r>
        <w:rPr>
          <w:rFonts w:hint="eastAsia" w:ascii="ＭＳ 明朝" w:hAnsi="ＭＳ 明朝" w:eastAsia="ＭＳ 明朝"/>
          <w:sz w:val="24"/>
        </w:rPr>
        <w:t>22</w:t>
      </w:r>
      <w:r>
        <w:rPr>
          <w:rFonts w:hint="eastAsia" w:ascii="ＭＳ 明朝" w:hAnsi="ＭＳ 明朝" w:eastAsia="ＭＳ 明朝"/>
          <w:sz w:val="24"/>
        </w:rPr>
        <w:t>百万円（</w:t>
      </w:r>
      <w:r>
        <w:rPr>
          <w:rFonts w:hint="eastAsia" w:ascii="ＭＳ 明朝" w:hAnsi="ＭＳ 明朝" w:eastAsia="ＭＳ 明朝"/>
          <w:sz w:val="24"/>
        </w:rPr>
        <w:t>17.5</w:t>
      </w:r>
      <w:r>
        <w:rPr>
          <w:rFonts w:hint="default" w:ascii="ＭＳ 明朝" w:hAnsi="ＭＳ 明朝" w:eastAsia="ＭＳ 明朝"/>
          <w:sz w:val="24"/>
        </w:rPr>
        <w:t>%</w:t>
      </w:r>
      <w:r>
        <w:rPr>
          <w:rFonts w:hint="eastAsia" w:ascii="ＭＳ 明朝" w:hAnsi="ＭＳ 明朝" w:eastAsia="ＭＳ 明朝"/>
          <w:sz w:val="24"/>
        </w:rPr>
        <w:t>）増加となっています。</w:t>
      </w:r>
    </w:p>
    <w:p>
      <w:pPr>
        <w:pStyle w:val="0"/>
        <w:ind w:firstLine="240" w:firstLineChars="10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p>
    <w:p>
      <w:pPr>
        <w:pStyle w:val="0"/>
        <w:rPr>
          <w:rFonts w:hint="default" w:ascii="メイリオ" w:hAnsi="メイリオ" w:eastAsia="メイリオ"/>
          <w:kern w:val="0"/>
          <w:sz w:val="24"/>
        </w:rPr>
      </w:pPr>
      <w:r>
        <w:rPr>
          <w:rFonts w:hint="eastAsia" w:ascii="メイリオ" w:hAnsi="メイリオ" w:eastAsia="メイリオ"/>
          <w:kern w:val="0"/>
          <w:sz w:val="24"/>
        </w:rPr>
        <w:t>③経常費用の構成割合</w:t>
      </w:r>
    </w:p>
    <w:p>
      <w:pPr>
        <w:pStyle w:val="20"/>
        <w:spacing w:line="240" w:lineRule="auto"/>
        <w:ind w:firstLine="240" w:firstLineChars="100"/>
        <w:rPr>
          <w:rFonts w:hint="default" w:ascii="ＭＳ 明朝" w:hAnsi="ＭＳ 明朝" w:eastAsia="ＭＳ 明朝"/>
          <w:spacing w:val="0"/>
          <w:sz w:val="24"/>
        </w:rPr>
      </w:pPr>
      <w:r>
        <w:rPr>
          <w:rFonts w:hint="eastAsia" w:ascii="ＭＳ 明朝" w:hAnsi="ＭＳ 明朝" w:eastAsia="ＭＳ 明朝"/>
          <w:spacing w:val="0"/>
          <w:sz w:val="24"/>
        </w:rPr>
        <w:t>最初に、経常費用の構成割合をみます。この割合を他団体との比較をすることによって、占冠村がどのコストに重点的に充てられているのかがわかります。</w:t>
      </w:r>
    </w:p>
    <w:p>
      <w:pPr>
        <w:pStyle w:val="20"/>
        <w:spacing w:line="240" w:lineRule="auto"/>
        <w:ind w:firstLine="240" w:firstLineChars="100"/>
        <w:rPr>
          <w:rFonts w:hint="default" w:ascii="ＭＳ 明朝" w:hAnsi="ＭＳ 明朝" w:eastAsia="ＭＳ 明朝"/>
          <w:spacing w:val="0"/>
          <w:sz w:val="24"/>
        </w:rPr>
      </w:pPr>
      <w:r>
        <w:rPr>
          <w:rFonts w:hint="eastAsia" w:ascii="ＭＳ 明朝" w:hAnsi="ＭＳ 明朝" w:eastAsia="ＭＳ 明朝"/>
          <w:spacing w:val="0"/>
          <w:sz w:val="24"/>
        </w:rPr>
        <w:t>占冠村においては、業務費用が</w:t>
      </w:r>
      <w:r>
        <w:rPr>
          <w:rFonts w:hint="eastAsia" w:ascii="ＭＳ 明朝" w:hAnsi="ＭＳ 明朝" w:eastAsia="ＭＳ 明朝"/>
          <w:spacing w:val="0"/>
          <w:sz w:val="24"/>
        </w:rPr>
        <w:t>78.0</w:t>
      </w:r>
      <w:r>
        <w:rPr>
          <w:rFonts w:hint="eastAsia" w:ascii="ＭＳ 明朝" w:hAnsi="ＭＳ 明朝" w:eastAsia="ＭＳ 明朝"/>
          <w:spacing w:val="0"/>
          <w:sz w:val="24"/>
        </w:rPr>
        <w:t>％、移転費用が</w:t>
      </w:r>
      <w:r>
        <w:rPr>
          <w:rFonts w:hint="eastAsia" w:ascii="ＭＳ 明朝" w:hAnsi="ＭＳ 明朝" w:eastAsia="ＭＳ 明朝"/>
          <w:spacing w:val="0"/>
          <w:sz w:val="24"/>
        </w:rPr>
        <w:t>22.0</w:t>
      </w:r>
      <w:r>
        <w:rPr>
          <w:rFonts w:hint="eastAsia" w:ascii="ＭＳ 明朝" w:hAnsi="ＭＳ 明朝" w:eastAsia="ＭＳ 明朝"/>
          <w:spacing w:val="0"/>
          <w:sz w:val="24"/>
        </w:rPr>
        <w:t>％で構成されており、業務費用を細分化すると、人件費が</w:t>
      </w:r>
      <w:r>
        <w:rPr>
          <w:rFonts w:hint="eastAsia" w:ascii="ＭＳ 明朝" w:hAnsi="ＭＳ 明朝" w:eastAsia="ＭＳ 明朝"/>
          <w:spacing w:val="0"/>
          <w:sz w:val="24"/>
        </w:rPr>
        <w:t>16.1</w:t>
      </w:r>
      <w:r>
        <w:rPr>
          <w:rFonts w:hint="eastAsia" w:ascii="ＭＳ 明朝" w:hAnsi="ＭＳ 明朝" w:eastAsia="ＭＳ 明朝"/>
          <w:spacing w:val="0"/>
          <w:sz w:val="24"/>
        </w:rPr>
        <w:t>％、物件費等に</w:t>
      </w:r>
      <w:r>
        <w:rPr>
          <w:rFonts w:hint="eastAsia" w:ascii="ＭＳ 明朝" w:hAnsi="ＭＳ 明朝" w:eastAsia="ＭＳ 明朝"/>
          <w:spacing w:val="0"/>
          <w:sz w:val="24"/>
        </w:rPr>
        <w:t>61.2</w:t>
      </w:r>
      <w:r>
        <w:rPr>
          <w:rFonts w:hint="eastAsia" w:ascii="ＭＳ 明朝" w:hAnsi="ＭＳ 明朝" w:eastAsia="ＭＳ 明朝"/>
          <w:spacing w:val="0"/>
          <w:sz w:val="24"/>
        </w:rPr>
        <w:t>％、その他の業務費用が</w:t>
      </w:r>
      <w:r>
        <w:rPr>
          <w:rFonts w:hint="eastAsia" w:ascii="ＭＳ 明朝" w:hAnsi="ＭＳ 明朝" w:eastAsia="ＭＳ 明朝"/>
          <w:spacing w:val="0"/>
          <w:sz w:val="24"/>
        </w:rPr>
        <w:t>0.7</w:t>
      </w:r>
      <w:r>
        <w:rPr>
          <w:rFonts w:hint="eastAsia" w:ascii="ＭＳ 明朝" w:hAnsi="ＭＳ 明朝" w:eastAsia="ＭＳ 明朝"/>
          <w:spacing w:val="0"/>
          <w:sz w:val="24"/>
        </w:rPr>
        <w:t>％となっています。</w:t>
      </w:r>
    </w:p>
    <w:p>
      <w:pPr>
        <w:pStyle w:val="20"/>
        <w:spacing w:line="240" w:lineRule="auto"/>
        <w:ind w:firstLine="240" w:firstLineChars="100"/>
        <w:rPr>
          <w:rFonts w:hint="default" w:ascii="ＭＳ 明朝" w:hAnsi="ＭＳ 明朝" w:eastAsia="ＭＳ 明朝"/>
          <w:spacing w:val="0"/>
          <w:sz w:val="24"/>
        </w:rPr>
      </w:pPr>
    </w:p>
    <w:p>
      <w:pPr>
        <w:pStyle w:val="0"/>
        <w:rPr>
          <w:rFonts w:hint="default" w:ascii="HGP創英角ｺﾞｼｯｸUB" w:hAnsi="HGP創英角ｺﾞｼｯｸUB" w:eastAsia="HGP創英角ｺﾞｼｯｸUB"/>
          <w:color w:val="003399"/>
          <w:kern w:val="0"/>
        </w:rPr>
      </w:pPr>
      <w:r>
        <w:rPr>
          <w:rFonts w:hint="eastAsia" w:ascii="HGP創英角ｺﾞｼｯｸUB" w:hAnsi="HGP創英角ｺﾞｼｯｸUB" w:eastAsia="HGP創英角ｺﾞｼｯｸUB"/>
          <w:color w:val="003399"/>
          <w:kern w:val="0"/>
          <w:sz w:val="24"/>
        </w:rPr>
        <w:t>■経常費用の構成割合　　　　　　　　　　　　　　　　　　　　　　　　　　　　　　　　　　　　</w:t>
      </w:r>
    </w:p>
    <w:p>
      <w:pPr>
        <w:pStyle w:val="0"/>
        <w:jc w:val="center"/>
        <w:rPr>
          <w:rFonts w:hint="default" w:asciiTheme="minorEastAsia" w:hAnsiTheme="minorEastAsia"/>
          <w:kern w:val="0"/>
          <w:sz w:val="24"/>
        </w:rPr>
      </w:pPr>
      <w:r>
        <w:rPr>
          <w:rFonts w:hint="default"/>
        </w:rPr>
        <w:drawing>
          <wp:inline distT="0" distB="0" distL="0" distR="0">
            <wp:extent cx="6192520" cy="2388235"/>
            <wp:effectExtent l="0" t="0" r="0" b="0"/>
            <wp:docPr id="1070" name="Picture 15"/>
            <a:graphic xmlns:a="http://schemas.openxmlformats.org/drawingml/2006/main">
              <a:graphicData uri="http://schemas.openxmlformats.org/drawingml/2006/picture">
                <pic:pic xmlns:pic="http://schemas.openxmlformats.org/drawingml/2006/picture">
                  <pic:nvPicPr>
                    <pic:cNvPr id="1070" name="Picture 15"/>
                    <pic:cNvPicPr>
                      <a:picLocks noChangeAspect="1" noChangeArrowheads="1"/>
                    </pic:cNvPicPr>
                  </pic:nvPicPr>
                  <pic:blipFill>
                    <a:blip r:embed="rId19"/>
                    <a:stretch>
                      <a:fillRect/>
                    </a:stretch>
                  </pic:blipFill>
                  <pic:spPr>
                    <a:xfrm>
                      <a:off x="0" y="0"/>
                      <a:ext cx="6192520" cy="2388235"/>
                    </a:xfrm>
                    <a:prstGeom prst="rect">
                      <a:avLst/>
                    </a:prstGeom>
                    <a:noFill/>
                    <a:ln>
                      <a:noFill/>
                    </a:ln>
                  </pic:spPr>
                </pic:pic>
              </a:graphicData>
            </a:graphic>
          </wp:inline>
        </w:drawing>
      </w:r>
    </w:p>
    <w:p>
      <w:pPr>
        <w:pStyle w:val="15"/>
        <w:numPr>
          <w:ilvl w:val="0"/>
          <w:numId w:val="1"/>
        </w:numPr>
        <w:ind w:leftChars="0"/>
        <w:rPr>
          <w:rFonts w:hint="default" w:ascii="メイリオ" w:hAnsi="メイリオ" w:eastAsia="メイリオ"/>
          <w:kern w:val="0"/>
          <w:sz w:val="24"/>
        </w:rPr>
      </w:pPr>
      <w:r>
        <w:rPr>
          <w:rFonts w:hint="eastAsia" w:ascii="メイリオ" w:hAnsi="メイリオ" w:eastAsia="メイリオ"/>
          <w:kern w:val="0"/>
          <w:sz w:val="24"/>
        </w:rPr>
        <w:t>減価償却費の状況</w:t>
      </w:r>
    </w:p>
    <w:p>
      <w:pPr>
        <w:pStyle w:val="20"/>
        <w:spacing w:line="240" w:lineRule="auto"/>
        <w:ind w:firstLine="240" w:firstLineChars="100"/>
        <w:rPr>
          <w:rFonts w:hint="default" w:ascii="ＭＳ 明朝" w:hAnsi="ＭＳ 明朝" w:eastAsia="ＭＳ 明朝"/>
          <w:spacing w:val="0"/>
          <w:sz w:val="24"/>
        </w:rPr>
      </w:pPr>
      <w:r>
        <w:rPr>
          <w:rFonts w:hint="eastAsia" w:ascii="ＭＳ 明朝" w:hAnsi="ＭＳ 明朝" w:eastAsia="ＭＳ 明朝"/>
          <w:spacing w:val="0"/>
          <w:sz w:val="24"/>
        </w:rPr>
        <w:t>自治体は多くの資産を有していますので、コスト全体における減価償却の割合も高くなります。また、資産老朽化比率にも大きく起因するところであり、資産老朽化比率が低いと減価償却が</w:t>
      </w:r>
      <w:r>
        <w:rPr>
          <w:rFonts w:hint="default" w:ascii="ＭＳ 明朝" w:hAnsi="ＭＳ 明朝" w:eastAsia="ＭＳ 明朝"/>
          <w:spacing w:val="0"/>
          <w:sz w:val="24"/>
        </w:rPr>
        <w:t>行政コスト全体に占める割合も高くなります。</w:t>
      </w:r>
      <w:r>
        <w:rPr>
          <w:rFonts w:hint="eastAsia" w:ascii="ＭＳ 明朝" w:hAnsi="ＭＳ 明朝" w:eastAsia="ＭＳ 明朝"/>
          <w:spacing w:val="0"/>
          <w:sz w:val="24"/>
        </w:rPr>
        <w:t>占冠村における減価償却費の構成割合は</w:t>
      </w:r>
      <w:r>
        <w:rPr>
          <w:rFonts w:hint="eastAsia" w:ascii="ＭＳ 明朝" w:hAnsi="ＭＳ 明朝" w:eastAsia="ＭＳ 明朝"/>
          <w:spacing w:val="0"/>
          <w:sz w:val="24"/>
        </w:rPr>
        <w:t>34.2</w:t>
      </w:r>
      <w:r>
        <w:rPr>
          <w:rFonts w:hint="eastAsia" w:ascii="ＭＳ 明朝" w:hAnsi="ＭＳ 明朝" w:eastAsia="ＭＳ 明朝"/>
          <w:spacing w:val="0"/>
          <w:sz w:val="24"/>
        </w:rPr>
        <w:t>％であり、前年度と比較すると</w:t>
      </w:r>
      <w:r>
        <w:rPr>
          <w:rFonts w:hint="eastAsia" w:ascii="ＭＳ 明朝" w:hAnsi="ＭＳ 明朝" w:eastAsia="ＭＳ 明朝"/>
          <w:spacing w:val="0"/>
          <w:sz w:val="24"/>
        </w:rPr>
        <w:t>0.5</w:t>
      </w:r>
      <w:r>
        <w:rPr>
          <w:rFonts w:hint="eastAsia" w:ascii="ＭＳ 明朝" w:hAnsi="ＭＳ 明朝" w:eastAsia="ＭＳ 明朝"/>
          <w:spacing w:val="0"/>
          <w:sz w:val="24"/>
        </w:rPr>
        <w:t>ポイント増加しており、</w:t>
      </w:r>
      <w:r>
        <w:rPr>
          <w:rFonts w:hint="default" w:ascii="ＭＳ 明朝" w:hAnsi="ＭＳ 明朝" w:eastAsia="ＭＳ 明朝"/>
          <w:spacing w:val="0"/>
          <w:sz w:val="24"/>
        </w:rPr>
        <w:t>人口</w:t>
      </w:r>
      <w:r>
        <w:rPr>
          <w:rFonts w:hint="eastAsia" w:ascii="ＭＳ 明朝" w:hAnsi="ＭＳ 明朝" w:eastAsia="ＭＳ 明朝"/>
          <w:spacing w:val="0"/>
          <w:sz w:val="24"/>
        </w:rPr>
        <w:t>5</w:t>
      </w:r>
      <w:r>
        <w:rPr>
          <w:rFonts w:hint="eastAsia" w:ascii="ＭＳ 明朝" w:hAnsi="ＭＳ 明朝" w:eastAsia="ＭＳ 明朝"/>
          <w:spacing w:val="0"/>
          <w:sz w:val="24"/>
        </w:rPr>
        <w:t>千</w:t>
      </w:r>
      <w:r>
        <w:rPr>
          <w:rFonts w:hint="default" w:ascii="ＭＳ 明朝" w:hAnsi="ＭＳ 明朝" w:eastAsia="ＭＳ 明朝"/>
          <w:spacing w:val="0"/>
          <w:sz w:val="24"/>
        </w:rPr>
        <w:t>人</w:t>
      </w:r>
      <w:r>
        <w:rPr>
          <w:rFonts w:hint="eastAsia" w:ascii="ＭＳ 明朝" w:hAnsi="ＭＳ 明朝" w:eastAsia="ＭＳ 明朝"/>
          <w:spacing w:val="0"/>
          <w:sz w:val="24"/>
        </w:rPr>
        <w:t>未満</w:t>
      </w:r>
      <w:r>
        <w:rPr>
          <w:rFonts w:hint="default" w:ascii="ＭＳ 明朝" w:hAnsi="ＭＳ 明朝" w:eastAsia="ＭＳ 明朝"/>
          <w:spacing w:val="0"/>
          <w:sz w:val="24"/>
        </w:rPr>
        <w:t>の自治体平均</w:t>
      </w:r>
      <w:r>
        <w:rPr>
          <w:rFonts w:hint="eastAsia" w:ascii="ＭＳ 明朝" w:hAnsi="ＭＳ 明朝" w:eastAsia="ＭＳ 明朝"/>
          <w:spacing w:val="0"/>
          <w:sz w:val="24"/>
        </w:rPr>
        <w:t>より高い</w:t>
      </w:r>
      <w:r>
        <w:rPr>
          <w:rFonts w:hint="default" w:ascii="ＭＳ 明朝" w:hAnsi="ＭＳ 明朝" w:eastAsia="ＭＳ 明朝"/>
          <w:spacing w:val="0"/>
          <w:sz w:val="24"/>
        </w:rPr>
        <w:t>水準</w:t>
      </w:r>
      <w:r>
        <w:rPr>
          <w:rFonts w:hint="eastAsia" w:ascii="ＭＳ 明朝" w:hAnsi="ＭＳ 明朝" w:eastAsia="ＭＳ 明朝"/>
          <w:spacing w:val="0"/>
          <w:sz w:val="24"/>
        </w:rPr>
        <w:t>です。</w:t>
      </w:r>
    </w:p>
    <w:p>
      <w:pPr>
        <w:pStyle w:val="20"/>
        <w:spacing w:line="240" w:lineRule="auto"/>
        <w:ind w:firstLine="240" w:firstLineChars="100"/>
        <w:rPr>
          <w:rFonts w:hint="default" w:ascii="ＭＳ 明朝" w:hAnsi="ＭＳ 明朝" w:eastAsia="ＭＳ 明朝"/>
          <w:spacing w:val="0"/>
          <w:sz w:val="24"/>
        </w:rPr>
      </w:pPr>
      <w:r>
        <w:rPr>
          <w:rFonts w:hint="eastAsia" w:ascii="ＭＳ 明朝" w:hAnsi="ＭＳ 明朝" w:eastAsia="ＭＳ 明朝"/>
          <w:spacing w:val="0"/>
          <w:sz w:val="24"/>
        </w:rPr>
        <w:t>また、償却資産合計に対する減価償却費の割合をみると、</w:t>
      </w:r>
      <w:r>
        <w:rPr>
          <w:rFonts w:hint="eastAsia" w:ascii="ＭＳ 明朝" w:hAnsi="ＭＳ 明朝" w:eastAsia="ＭＳ 明朝"/>
          <w:spacing w:val="0"/>
          <w:sz w:val="24"/>
        </w:rPr>
        <w:t>8.0</w:t>
      </w:r>
      <w:r>
        <w:rPr>
          <w:rFonts w:hint="eastAsia" w:ascii="ＭＳ 明朝" w:hAnsi="ＭＳ 明朝" w:eastAsia="ＭＳ 明朝"/>
          <w:spacing w:val="0"/>
          <w:sz w:val="24"/>
        </w:rPr>
        <w:t>％となっています。これは単純に考えると、新たな資産を形成しない限り、今後資産老朽化比率が</w:t>
      </w:r>
      <w:r>
        <w:rPr>
          <w:rFonts w:hint="eastAsia" w:ascii="ＭＳ 明朝" w:hAnsi="ＭＳ 明朝" w:eastAsia="ＭＳ 明朝"/>
          <w:spacing w:val="0"/>
          <w:sz w:val="24"/>
        </w:rPr>
        <w:t>8.0</w:t>
      </w:r>
      <w:r>
        <w:rPr>
          <w:rFonts w:hint="eastAsia" w:ascii="ＭＳ 明朝" w:hAnsi="ＭＳ 明朝" w:eastAsia="ＭＳ 明朝"/>
          <w:spacing w:val="0"/>
          <w:sz w:val="24"/>
        </w:rPr>
        <w:t>％増加することになります。したがって、資産の形成については計画的に行うことが重要となります。</w:t>
      </w:r>
    </w:p>
    <w:p>
      <w:pPr>
        <w:pStyle w:val="20"/>
        <w:spacing w:line="240" w:lineRule="auto"/>
        <w:rPr>
          <w:rFonts w:hint="default" w:ascii="ＭＳ 明朝" w:hAnsi="ＭＳ 明朝" w:eastAsia="ＭＳ 明朝"/>
          <w:spacing w:val="0"/>
          <w:sz w:val="24"/>
        </w:rPr>
      </w:pPr>
    </w:p>
    <w:p>
      <w:pPr>
        <w:pStyle w:val="20"/>
        <w:spacing w:line="240" w:lineRule="auto"/>
        <w:rPr>
          <w:rFonts w:hint="default" w:ascii="ＭＳ 明朝" w:hAnsi="ＭＳ 明朝" w:eastAsia="ＭＳ 明朝"/>
          <w:spacing w:val="0"/>
          <w:sz w:val="24"/>
        </w:rPr>
      </w:pPr>
    </w:p>
    <w:p>
      <w:pPr>
        <w:pStyle w:val="20"/>
        <w:spacing w:line="240" w:lineRule="auto"/>
        <w:rPr>
          <w:rFonts w:hint="default" w:ascii="ＭＳ 明朝" w:hAnsi="ＭＳ 明朝" w:eastAsia="ＭＳ 明朝"/>
          <w:spacing w:val="0"/>
          <w:sz w:val="24"/>
        </w:rPr>
      </w:pPr>
    </w:p>
    <w:p>
      <w:pPr>
        <w:pStyle w:val="20"/>
        <w:spacing w:line="240" w:lineRule="auto"/>
        <w:rPr>
          <w:rFonts w:hint="default" w:ascii="ＭＳ 明朝" w:hAnsi="ＭＳ 明朝" w:eastAsia="ＭＳ 明朝"/>
          <w:spacing w:val="0"/>
          <w:sz w:val="24"/>
        </w:rPr>
      </w:pPr>
    </w:p>
    <w:p>
      <w:pPr>
        <w:pStyle w:val="20"/>
        <w:spacing w:line="240" w:lineRule="auto"/>
        <w:rPr>
          <w:rFonts w:hint="default" w:ascii="ＭＳ 明朝" w:hAnsi="ＭＳ 明朝" w:eastAsia="ＭＳ 明朝"/>
          <w:spacing w:val="0"/>
          <w:sz w:val="24"/>
        </w:rPr>
      </w:pPr>
    </w:p>
    <w:p>
      <w:pPr>
        <w:pStyle w:val="20"/>
        <w:spacing w:line="240" w:lineRule="auto"/>
        <w:rPr>
          <w:rFonts w:hint="default" w:ascii="ＭＳ 明朝" w:hAnsi="ＭＳ 明朝" w:eastAsia="ＭＳ 明朝"/>
          <w:spacing w:val="0"/>
          <w:sz w:val="24"/>
        </w:rPr>
      </w:pPr>
    </w:p>
    <w:p>
      <w:pPr>
        <w:pStyle w:val="20"/>
        <w:spacing w:line="240" w:lineRule="auto"/>
        <w:rPr>
          <w:rFonts w:hint="default" w:ascii="ＭＳ 明朝" w:hAnsi="ＭＳ 明朝" w:eastAsia="ＭＳ 明朝"/>
          <w:spacing w:val="0"/>
          <w:sz w:val="24"/>
        </w:rPr>
      </w:pPr>
    </w:p>
    <w:p>
      <w:pPr>
        <w:pStyle w:val="20"/>
        <w:spacing w:line="240" w:lineRule="auto"/>
        <w:rPr>
          <w:rFonts w:hint="default" w:ascii="ＭＳ 明朝" w:hAnsi="ＭＳ 明朝" w:eastAsia="ＭＳ 明朝"/>
          <w:spacing w:val="0"/>
          <w:sz w:val="24"/>
        </w:rPr>
      </w:pPr>
    </w:p>
    <w:p>
      <w:pPr>
        <w:pStyle w:val="0"/>
        <w:ind w:left="240" w:hanging="240" w:hangingChars="100"/>
        <w:rPr>
          <w:rFonts w:hint="default" w:ascii="HGP創英角ｺﾞｼｯｸUB" w:hAnsi="HGP創英角ｺﾞｼｯｸUB" w:eastAsia="HGP創英角ｺﾞｼｯｸUB"/>
          <w:color w:val="003399"/>
          <w:kern w:val="0"/>
        </w:rPr>
      </w:pPr>
      <w:r>
        <w:rPr>
          <w:rFonts w:hint="eastAsia" w:ascii="HGP創英角ｺﾞｼｯｸUB" w:hAnsi="HGP創英角ｺﾞｼｯｸUB" w:eastAsia="HGP創英角ｺﾞｼｯｸUB"/>
          <w:color w:val="003399"/>
          <w:kern w:val="0"/>
          <w:sz w:val="24"/>
        </w:rPr>
        <w:t>■減価償却費の状況　　　　　　　　　　　　　　　　　　　　　　　　　　　　　　　　　　　　　</w:t>
      </w:r>
      <w:r>
        <w:rPr>
          <w:rFonts w:hint="eastAsia" w:ascii="HGP創英角ｺﾞｼｯｸUB" w:hAnsi="HGP創英角ｺﾞｼｯｸUB" w:eastAsia="HGP創英角ｺﾞｼｯｸUB"/>
          <w:color w:val="003399"/>
          <w:kern w:val="0"/>
        </w:rPr>
        <w:t>　</w:t>
      </w:r>
    </w:p>
    <w:p>
      <w:pPr>
        <w:pStyle w:val="0"/>
        <w:jc w:val="center"/>
        <w:rPr>
          <w:rFonts w:hint="default" w:asciiTheme="majorEastAsia" w:hAnsiTheme="majorEastAsia" w:eastAsiaTheme="majorEastAsia"/>
          <w:kern w:val="0"/>
          <w:sz w:val="22"/>
        </w:rPr>
      </w:pPr>
      <w:r>
        <w:rPr>
          <w:rFonts w:hint="default"/>
        </w:rPr>
        <w:drawing>
          <wp:inline distT="0" distB="0" distL="0" distR="0">
            <wp:extent cx="6192520" cy="1406525"/>
            <wp:effectExtent l="0" t="0" r="0" b="0"/>
            <wp:docPr id="1071" name="Picture 16"/>
            <a:graphic xmlns:a="http://schemas.openxmlformats.org/drawingml/2006/main">
              <a:graphicData uri="http://schemas.openxmlformats.org/drawingml/2006/picture">
                <pic:pic xmlns:pic="http://schemas.openxmlformats.org/drawingml/2006/picture">
                  <pic:nvPicPr>
                    <pic:cNvPr id="1071" name="Picture 16"/>
                    <pic:cNvPicPr>
                      <a:picLocks noChangeAspect="1" noChangeArrowheads="1"/>
                    </pic:cNvPicPr>
                  </pic:nvPicPr>
                  <pic:blipFill>
                    <a:blip r:embed="rId20"/>
                    <a:stretch>
                      <a:fillRect/>
                    </a:stretch>
                  </pic:blipFill>
                  <pic:spPr>
                    <a:xfrm>
                      <a:off x="0" y="0"/>
                      <a:ext cx="6192520" cy="1406525"/>
                    </a:xfrm>
                    <a:prstGeom prst="rect">
                      <a:avLst/>
                    </a:prstGeom>
                    <a:noFill/>
                    <a:ln>
                      <a:noFill/>
                    </a:ln>
                  </pic:spPr>
                </pic:pic>
              </a:graphicData>
            </a:graphic>
          </wp:inline>
        </w:drawing>
      </w:r>
    </w:p>
    <w:p>
      <w:pPr>
        <w:pStyle w:val="0"/>
        <w:jc w:val="center"/>
        <w:rPr>
          <w:rFonts w:hint="default" w:asciiTheme="majorEastAsia" w:hAnsiTheme="majorEastAsia" w:eastAsiaTheme="majorEastAsia"/>
          <w:kern w:val="0"/>
          <w:sz w:val="22"/>
        </w:rPr>
      </w:pPr>
    </w:p>
    <w:p>
      <w:pPr>
        <w:pStyle w:val="0"/>
        <w:rPr>
          <w:rFonts w:hint="default" w:ascii="メイリオ" w:hAnsi="メイリオ" w:eastAsia="メイリオ"/>
          <w:kern w:val="0"/>
          <w:sz w:val="24"/>
        </w:rPr>
      </w:pPr>
      <w:r>
        <w:rPr>
          <w:rFonts w:hint="eastAsia" w:ascii="メイリオ" w:hAnsi="メイリオ" w:eastAsia="メイリオ"/>
          <w:kern w:val="0"/>
          <w:sz w:val="24"/>
        </w:rPr>
        <w:t>⑤移転費用の状況</w:t>
      </w:r>
    </w:p>
    <w:p>
      <w:pPr>
        <w:pStyle w:val="20"/>
        <w:spacing w:line="240" w:lineRule="auto"/>
        <w:ind w:firstLine="240" w:firstLineChars="100"/>
        <w:rPr>
          <w:rFonts w:hint="default" w:ascii="ＭＳ 明朝" w:hAnsi="ＭＳ 明朝" w:eastAsia="ＭＳ 明朝"/>
          <w:spacing w:val="0"/>
          <w:sz w:val="24"/>
        </w:rPr>
      </w:pPr>
      <w:r>
        <w:rPr>
          <w:rFonts w:hint="eastAsia" w:ascii="ＭＳ 明朝" w:hAnsi="ＭＳ 明朝" w:eastAsia="ＭＳ 明朝"/>
          <w:spacing w:val="0"/>
          <w:sz w:val="24"/>
        </w:rPr>
        <w:t>自治体においては、行政サービス提供の全てを一般会計等だけで行っているわけではありません。行政サービスの一端を担う団体への補助金や住民の民生（扶助）や他事業（他会計）の負担も行う必要があり、このコストも大きなものになります。</w:t>
      </w:r>
    </w:p>
    <w:p>
      <w:pPr>
        <w:pStyle w:val="20"/>
        <w:spacing w:line="240" w:lineRule="auto"/>
        <w:ind w:firstLine="240" w:firstLineChars="100"/>
        <w:rPr>
          <w:rFonts w:hint="default" w:ascii="ＭＳ 明朝" w:hAnsi="ＭＳ 明朝" w:eastAsia="ＭＳ 明朝"/>
          <w:spacing w:val="0"/>
          <w:sz w:val="24"/>
        </w:rPr>
      </w:pPr>
      <w:r>
        <w:rPr>
          <w:rFonts w:hint="eastAsia" w:ascii="ＭＳ 明朝" w:hAnsi="ＭＳ 明朝" w:eastAsia="ＭＳ 明朝"/>
          <w:spacing w:val="0"/>
          <w:sz w:val="24"/>
        </w:rPr>
        <w:t>占冠村の経常費用全体の構成は、他団体の一部運営経費などの補助金等が</w:t>
      </w:r>
      <w:r>
        <w:rPr>
          <w:rFonts w:hint="eastAsia" w:ascii="ＭＳ 明朝" w:hAnsi="ＭＳ 明朝" w:eastAsia="ＭＳ 明朝"/>
          <w:spacing w:val="0"/>
          <w:sz w:val="24"/>
        </w:rPr>
        <w:t>12.7</w:t>
      </w:r>
      <w:r>
        <w:rPr>
          <w:rFonts w:hint="eastAsia" w:ascii="ＭＳ 明朝" w:hAnsi="ＭＳ 明朝" w:eastAsia="ＭＳ 明朝"/>
          <w:spacing w:val="0"/>
          <w:sz w:val="24"/>
        </w:rPr>
        <w:t>％、扶助費である社会保障給付が</w:t>
      </w:r>
      <w:r>
        <w:rPr>
          <w:rFonts w:hint="eastAsia" w:ascii="ＭＳ 明朝" w:hAnsi="ＭＳ 明朝" w:eastAsia="ＭＳ 明朝"/>
          <w:spacing w:val="0"/>
          <w:sz w:val="24"/>
        </w:rPr>
        <w:t>1.9</w:t>
      </w:r>
      <w:r>
        <w:rPr>
          <w:rFonts w:hint="eastAsia" w:ascii="ＭＳ 明朝" w:hAnsi="ＭＳ 明朝" w:eastAsia="ＭＳ 明朝"/>
          <w:spacing w:val="0"/>
          <w:sz w:val="24"/>
        </w:rPr>
        <w:t>％、他会計の負担分である繰出金が</w:t>
      </w:r>
      <w:r>
        <w:rPr>
          <w:rFonts w:hint="eastAsia" w:ascii="ＭＳ 明朝" w:hAnsi="ＭＳ 明朝" w:eastAsia="ＭＳ 明朝"/>
          <w:spacing w:val="0"/>
          <w:sz w:val="24"/>
        </w:rPr>
        <w:t>7.4</w:t>
      </w:r>
      <w:r>
        <w:rPr>
          <w:rFonts w:hint="eastAsia" w:ascii="ＭＳ 明朝" w:hAnsi="ＭＳ 明朝" w:eastAsia="ＭＳ 明朝"/>
          <w:spacing w:val="0"/>
          <w:sz w:val="24"/>
        </w:rPr>
        <w:t>％となっています。</w:t>
      </w:r>
    </w:p>
    <w:p>
      <w:pPr>
        <w:pStyle w:val="0"/>
        <w:rPr>
          <w:rFonts w:hint="default" w:asciiTheme="minorEastAsia" w:hAnsiTheme="minorEastAsia"/>
          <w:kern w:val="0"/>
          <w:sz w:val="22"/>
        </w:rPr>
      </w:pPr>
    </w:p>
    <w:p>
      <w:pPr>
        <w:pStyle w:val="0"/>
        <w:ind w:left="240" w:hanging="240" w:hangingChars="100"/>
        <w:rPr>
          <w:rFonts w:hint="default" w:ascii="HGP創英角ｺﾞｼｯｸUB" w:hAnsi="HGP創英角ｺﾞｼｯｸUB" w:eastAsia="HGP創英角ｺﾞｼｯｸUB"/>
          <w:color w:val="003399"/>
          <w:kern w:val="0"/>
          <w:sz w:val="24"/>
        </w:rPr>
      </w:pPr>
      <w:r>
        <w:rPr>
          <w:rFonts w:hint="eastAsia" w:ascii="HGP創英角ｺﾞｼｯｸUB" w:hAnsi="HGP創英角ｺﾞｼｯｸUB" w:eastAsia="HGP創英角ｺﾞｼｯｸUB"/>
          <w:color w:val="003399"/>
          <w:kern w:val="0"/>
          <w:sz w:val="24"/>
        </w:rPr>
        <w:t>■経常費用に対する移転費用の割合　　　　　　　　　　　　　　　　　　　　　　　　　　　　</w:t>
      </w:r>
    </w:p>
    <w:p>
      <w:pPr>
        <w:pStyle w:val="0"/>
        <w:ind w:left="210" w:hanging="210" w:hangingChars="100"/>
        <w:jc w:val="center"/>
        <w:rPr>
          <w:rFonts w:hint="default" w:asciiTheme="minorEastAsia" w:hAnsiTheme="minorEastAsia"/>
          <w:kern w:val="0"/>
          <w:sz w:val="24"/>
        </w:rPr>
      </w:pPr>
      <w:r>
        <w:rPr>
          <w:rFonts w:hint="default"/>
        </w:rPr>
        <w:drawing>
          <wp:inline distT="0" distB="0" distL="0" distR="0">
            <wp:extent cx="6192520" cy="2388235"/>
            <wp:effectExtent l="0" t="0" r="0" b="0"/>
            <wp:docPr id="1072" name="Picture 17"/>
            <a:graphic xmlns:a="http://schemas.openxmlformats.org/drawingml/2006/main">
              <a:graphicData uri="http://schemas.openxmlformats.org/drawingml/2006/picture">
                <pic:pic xmlns:pic="http://schemas.openxmlformats.org/drawingml/2006/picture">
                  <pic:nvPicPr>
                    <pic:cNvPr id="1072" name="Picture 17"/>
                    <pic:cNvPicPr>
                      <a:picLocks noChangeAspect="1" noChangeArrowheads="1"/>
                    </pic:cNvPicPr>
                  </pic:nvPicPr>
                  <pic:blipFill>
                    <a:blip r:embed="rId21"/>
                    <a:stretch>
                      <a:fillRect/>
                    </a:stretch>
                  </pic:blipFill>
                  <pic:spPr>
                    <a:xfrm>
                      <a:off x="0" y="0"/>
                      <a:ext cx="6192520" cy="2388235"/>
                    </a:xfrm>
                    <a:prstGeom prst="rect">
                      <a:avLst/>
                    </a:prstGeom>
                    <a:noFill/>
                    <a:ln>
                      <a:noFill/>
                    </a:ln>
                  </pic:spPr>
                </pic:pic>
              </a:graphicData>
            </a:graphic>
          </wp:inline>
        </w:drawing>
      </w:r>
    </w:p>
    <w:p>
      <w:pPr>
        <w:pStyle w:val="0"/>
        <w:rPr>
          <w:rFonts w:hint="default" w:ascii="メイリオ" w:hAnsi="メイリオ" w:eastAsia="メイリオ"/>
          <w:color w:val="ED7D31" w:themeColor="accent2"/>
          <w:kern w:val="0"/>
          <w:sz w:val="28"/>
        </w:rPr>
      </w:pPr>
    </w:p>
    <w:p>
      <w:pPr>
        <w:pStyle w:val="0"/>
        <w:rPr>
          <w:rFonts w:hint="default" w:ascii="メイリオ" w:hAnsi="メイリオ" w:eastAsia="メイリオ"/>
          <w:color w:val="ED7D31" w:themeColor="accent2"/>
          <w:kern w:val="0"/>
          <w:sz w:val="28"/>
        </w:rPr>
      </w:pPr>
    </w:p>
    <w:p>
      <w:pPr>
        <w:pStyle w:val="0"/>
        <w:rPr>
          <w:rFonts w:hint="default" w:ascii="メイリオ" w:hAnsi="メイリオ" w:eastAsia="メイリオ"/>
          <w:color w:val="ED7D31" w:themeColor="accent2"/>
          <w:kern w:val="0"/>
          <w:sz w:val="28"/>
        </w:rPr>
      </w:pPr>
    </w:p>
    <w:p>
      <w:pPr>
        <w:pStyle w:val="0"/>
        <w:rPr>
          <w:rFonts w:hint="default" w:ascii="メイリオ" w:hAnsi="メイリオ" w:eastAsia="メイリオ"/>
          <w:color w:val="ED7D31" w:themeColor="accent2"/>
          <w:kern w:val="0"/>
          <w:sz w:val="28"/>
        </w:rPr>
      </w:pPr>
    </w:p>
    <w:p>
      <w:pPr>
        <w:pStyle w:val="0"/>
        <w:rPr>
          <w:rFonts w:hint="default" w:ascii="メイリオ" w:hAnsi="メイリオ" w:eastAsia="メイリオ"/>
          <w:color w:val="ED7D31" w:themeColor="accent2"/>
          <w:kern w:val="0"/>
          <w:sz w:val="28"/>
        </w:rPr>
      </w:pPr>
    </w:p>
    <w:p>
      <w:pPr>
        <w:pStyle w:val="0"/>
        <w:rPr>
          <w:rFonts w:hint="default" w:ascii="メイリオ" w:hAnsi="メイリオ" w:eastAsia="メイリオ"/>
          <w:kern w:val="0"/>
          <w:sz w:val="28"/>
        </w:rPr>
      </w:pPr>
      <w:r>
        <w:rPr>
          <w:rFonts w:hint="eastAsia" w:ascii="メイリオ" w:hAnsi="メイリオ" w:eastAsia="メイリオ"/>
          <w:color w:val="ED7D31" w:themeColor="accent2"/>
          <w:kern w:val="0"/>
          <w:sz w:val="28"/>
        </w:rPr>
        <w:t>（３）</w:t>
      </w:r>
      <w:r>
        <w:rPr>
          <w:rFonts w:hint="eastAsia" w:ascii="メイリオ" w:hAnsi="メイリオ" w:eastAsia="メイリオ"/>
          <w:kern w:val="0"/>
          <w:sz w:val="28"/>
        </w:rPr>
        <w:t>純資産変動計算書</w:t>
      </w:r>
    </w:p>
    <w:p>
      <w:pPr>
        <w:pStyle w:val="20"/>
        <w:spacing w:line="240" w:lineRule="auto"/>
        <w:ind w:firstLine="240" w:firstLineChars="100"/>
        <w:rPr>
          <w:rFonts w:hint="default" w:ascii="ＭＳ 明朝" w:hAnsi="ＭＳ 明朝" w:eastAsia="ＭＳ 明朝"/>
          <w:spacing w:val="0"/>
          <w:kern w:val="2"/>
          <w:sz w:val="24"/>
        </w:rPr>
      </w:pPr>
      <w:r>
        <w:rPr>
          <w:rFonts w:hint="eastAsia" w:ascii="ＭＳ 明朝" w:hAnsi="ＭＳ 明朝" w:eastAsia="ＭＳ 明朝"/>
          <w:spacing w:val="0"/>
          <w:kern w:val="2"/>
          <w:sz w:val="24"/>
        </w:rPr>
        <w:t>純資産変動計算書は、地方公会計制度では純資産の変動を示すものと定義しています。純資産の変動とは、政策形成上の意思決定またはその他の事象による純資産及びその内部構成の変動としています。</w:t>
      </w:r>
    </w:p>
    <w:p>
      <w:pPr>
        <w:pStyle w:val="20"/>
        <w:spacing w:line="240" w:lineRule="auto"/>
        <w:ind w:firstLine="240" w:firstLineChars="100"/>
        <w:rPr>
          <w:rFonts w:hint="default" w:ascii="ＭＳ 明朝" w:hAnsi="ＭＳ 明朝" w:eastAsia="ＭＳ 明朝"/>
          <w:spacing w:val="0"/>
          <w:kern w:val="2"/>
          <w:sz w:val="24"/>
        </w:rPr>
      </w:pPr>
      <w:r>
        <w:rPr>
          <w:rFonts w:hint="eastAsia" w:ascii="ＭＳ 明朝" w:hAnsi="ＭＳ 明朝" w:eastAsia="ＭＳ 明朝"/>
          <w:spacing w:val="0"/>
          <w:kern w:val="2"/>
          <w:sz w:val="24"/>
        </w:rPr>
        <w:t>純資産の減少は、現役世代が将来世代にとっても利用可能であった資源を費消して便益を享受する一方で、将来世代にその分の負担が先送りされたことを意味します。逆に純資産の増加は、現役世代が自らの負担によって将来世代も利用可能な資源を蓄積したことを意味するので、その分、将来世代の負担は軽減されたこととなります。</w:t>
      </w:r>
    </w:p>
    <w:p>
      <w:pPr>
        <w:pStyle w:val="20"/>
        <w:spacing w:line="240" w:lineRule="auto"/>
        <w:ind w:firstLine="240" w:firstLineChars="100"/>
        <w:rPr>
          <w:rFonts w:hint="default" w:ascii="ＭＳ 明朝" w:hAnsi="ＭＳ 明朝" w:eastAsia="ＭＳ 明朝"/>
          <w:spacing w:val="0"/>
          <w:kern w:val="2"/>
          <w:sz w:val="24"/>
        </w:rPr>
      </w:pPr>
      <w:r>
        <w:rPr>
          <w:rFonts w:hint="eastAsia" w:ascii="ＭＳ 明朝" w:hAnsi="ＭＳ 明朝" w:eastAsia="ＭＳ 明朝"/>
          <w:spacing w:val="0"/>
          <w:kern w:val="2"/>
          <w:sz w:val="24"/>
        </w:rPr>
        <w:t>このような観点から、純資産の増減が、企業会計における利益及び損失の増減を示すものとも言い換えることができます。</w:t>
      </w:r>
    </w:p>
    <w:p>
      <w:pPr>
        <w:pStyle w:val="0"/>
        <w:rPr>
          <w:rFonts w:hint="default" w:ascii="メイリオ" w:hAnsi="メイリオ" w:eastAsia="メイリオ"/>
          <w:kern w:val="0"/>
          <w:sz w:val="28"/>
        </w:rPr>
      </w:pPr>
    </w:p>
    <w:tbl>
      <w:tblPr>
        <w:tblStyle w:val="11"/>
        <w:tblW w:w="9639" w:type="dxa"/>
        <w:jc w:val="center"/>
        <w:tblInd w:w="0" w:type="dxa"/>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Layout w:type="fixed"/>
        <w:tblCellMar>
          <w:top w:w="113" w:type="dxa"/>
          <w:bottom w:w="113" w:type="dxa"/>
        </w:tblCellMar>
        <w:tblLook w:firstRow="1" w:lastRow="1" w:firstColumn="1" w:lastColumn="1" w:noHBand="0" w:noVBand="0" w:val="01E0"/>
      </w:tblPr>
      <w:tblGrid>
        <w:gridCol w:w="9639"/>
      </w:tblGrid>
      <w:tr>
        <w:trPr/>
        <w:tc>
          <w:tcPr>
            <w:tcW w:w="9639" w:type="dxa"/>
            <w:shd w:val="thinHorzStripe" w:color="FFFFF0" w:fill="auto"/>
            <w:vAlign w:val="top"/>
          </w:tcPr>
          <w:p>
            <w:pPr>
              <w:pStyle w:val="15"/>
              <w:numPr>
                <w:ilvl w:val="0"/>
                <w:numId w:val="3"/>
              </w:numPr>
              <w:snapToGrid w:val="0"/>
              <w:ind w:leftChars="0"/>
              <w:rPr>
                <w:rFonts w:hint="default" w:ascii="MS UI Gothic" w:hAnsi="MS UI Gothic" w:eastAsia="MS UI Gothic"/>
                <w:sz w:val="24"/>
              </w:rPr>
            </w:pPr>
            <w:r>
              <w:rPr>
                <w:rFonts w:hint="eastAsia" w:ascii="MS UI Gothic" w:hAnsi="MS UI Gothic" w:eastAsia="MS UI Gothic"/>
                <w:sz w:val="24"/>
              </w:rPr>
              <w:t>余剰分の計算</w:t>
            </w:r>
          </w:p>
          <w:p>
            <w:pPr>
              <w:pStyle w:val="15"/>
              <w:snapToGrid w:val="0"/>
              <w:ind w:left="450" w:leftChars="0"/>
              <w:rPr>
                <w:rFonts w:hint="default" w:ascii="MS UI Gothic" w:hAnsi="MS UI Gothic" w:eastAsia="MS UI Gothic"/>
                <w:color w:val="3366FF"/>
                <w:sz w:val="24"/>
              </w:rPr>
            </w:pPr>
          </w:p>
          <w:p>
            <w:pPr>
              <w:pStyle w:val="0"/>
              <w:snapToGrid w:val="0"/>
              <w:ind w:firstLine="241" w:firstLineChars="100"/>
              <w:rPr>
                <w:rFonts w:hint="default" w:ascii="MS UI Gothic" w:hAnsi="MS UI Gothic" w:eastAsia="MS UI Gothic"/>
                <w:sz w:val="24"/>
              </w:rPr>
            </w:pPr>
            <w:r>
              <w:rPr>
                <w:rFonts w:hint="eastAsia" w:ascii="MS UI Gothic" w:hAnsi="MS UI Gothic" w:eastAsia="MS UI Gothic"/>
                <w:b w:val="1"/>
                <w:color w:val="F79646"/>
                <w:sz w:val="24"/>
              </w:rPr>
              <w:t>①</w:t>
            </w:r>
            <w:r>
              <w:rPr>
                <w:rFonts w:hint="eastAsia" w:ascii="MS UI Gothic" w:hAnsi="MS UI Gothic" w:eastAsia="MS UI Gothic"/>
                <w:sz w:val="24"/>
              </w:rPr>
              <w:t>純行政コスト</w:t>
            </w:r>
          </w:p>
          <w:p>
            <w:pPr>
              <w:pStyle w:val="0"/>
              <w:snapToGrid w:val="0"/>
              <w:ind w:firstLine="480" w:firstLineChars="200"/>
              <w:rPr>
                <w:rFonts w:hint="default" w:ascii="MS UI Gothic" w:hAnsi="MS UI Gothic" w:eastAsia="MS UI Gothic"/>
                <w:sz w:val="24"/>
              </w:rPr>
            </w:pPr>
            <w:r>
              <w:rPr>
                <w:rFonts w:hint="eastAsia" w:ascii="MS UI Gothic" w:hAnsi="MS UI Gothic" w:eastAsia="MS UI Gothic"/>
                <w:sz w:val="24"/>
              </w:rPr>
              <w:t>行政コスト計算書の純行政コストと一致。</w:t>
            </w:r>
          </w:p>
          <w:p>
            <w:pPr>
              <w:pStyle w:val="0"/>
              <w:snapToGrid w:val="0"/>
              <w:rPr>
                <w:rFonts w:hint="default" w:ascii="MS UI Gothic" w:hAnsi="MS UI Gothic" w:eastAsia="MS UI Gothic"/>
                <w:b w:val="1"/>
                <w:color w:val="F79646"/>
                <w:sz w:val="24"/>
              </w:rPr>
            </w:pPr>
          </w:p>
          <w:p>
            <w:pPr>
              <w:pStyle w:val="0"/>
              <w:snapToGrid w:val="0"/>
              <w:ind w:firstLine="241" w:firstLineChars="100"/>
              <w:rPr>
                <w:rFonts w:hint="default" w:ascii="MS UI Gothic" w:hAnsi="MS UI Gothic" w:eastAsia="MS UI Gothic"/>
                <w:sz w:val="24"/>
              </w:rPr>
            </w:pPr>
            <w:r>
              <w:rPr>
                <w:rFonts w:hint="eastAsia" w:ascii="MS UI Gothic" w:hAnsi="MS UI Gothic" w:eastAsia="MS UI Gothic"/>
                <w:b w:val="1"/>
                <w:color w:val="F79646"/>
                <w:sz w:val="24"/>
              </w:rPr>
              <w:t>②</w:t>
            </w:r>
            <w:r>
              <w:rPr>
                <w:rFonts w:hint="eastAsia" w:ascii="MS UI Gothic" w:hAnsi="MS UI Gothic" w:eastAsia="MS UI Gothic"/>
                <w:sz w:val="24"/>
              </w:rPr>
              <w:t>財源</w:t>
            </w:r>
          </w:p>
          <w:p>
            <w:pPr>
              <w:pStyle w:val="0"/>
              <w:snapToGrid w:val="0"/>
              <w:ind w:firstLine="480" w:firstLineChars="200"/>
              <w:rPr>
                <w:rFonts w:hint="default" w:ascii="MS UI Gothic" w:hAnsi="MS UI Gothic" w:eastAsia="MS UI Gothic"/>
                <w:sz w:val="24"/>
              </w:rPr>
            </w:pPr>
            <w:r>
              <w:rPr>
                <w:rFonts w:hint="eastAsia" w:ascii="MS UI Gothic" w:hAnsi="MS UI Gothic" w:eastAsia="MS UI Gothic"/>
                <w:sz w:val="24"/>
              </w:rPr>
              <w:t>財源をどのような収入（税収等、国庫補助金）で調達したかを表します。</w:t>
            </w:r>
          </w:p>
          <w:p>
            <w:pPr>
              <w:pStyle w:val="0"/>
              <w:snapToGrid w:val="0"/>
              <w:rPr>
                <w:rFonts w:hint="default" w:ascii="MS UI Gothic" w:hAnsi="MS UI Gothic" w:eastAsia="MS UI Gothic"/>
                <w:sz w:val="24"/>
              </w:rPr>
            </w:pPr>
          </w:p>
          <w:p>
            <w:pPr>
              <w:pStyle w:val="15"/>
              <w:numPr>
                <w:ilvl w:val="0"/>
                <w:numId w:val="3"/>
              </w:numPr>
              <w:snapToGrid w:val="0"/>
              <w:ind w:leftChars="0"/>
              <w:rPr>
                <w:rFonts w:hint="default" w:ascii="MS UI Gothic" w:hAnsi="MS UI Gothic" w:eastAsia="MS UI Gothic"/>
                <w:sz w:val="24"/>
              </w:rPr>
            </w:pPr>
            <w:r>
              <w:rPr>
                <w:rFonts w:hint="eastAsia" w:ascii="MS UI Gothic" w:hAnsi="MS UI Gothic" w:eastAsia="MS UI Gothic"/>
                <w:sz w:val="24"/>
              </w:rPr>
              <w:t>固定資産形成分</w:t>
            </w:r>
          </w:p>
          <w:p>
            <w:pPr>
              <w:pStyle w:val="0"/>
              <w:snapToGrid w:val="0"/>
              <w:ind w:firstLine="240" w:firstLineChars="100"/>
              <w:rPr>
                <w:rFonts w:hint="default" w:ascii="MS UI Gothic" w:hAnsi="MS UI Gothic" w:eastAsia="MS UI Gothic"/>
                <w:sz w:val="24"/>
              </w:rPr>
            </w:pPr>
            <w:r>
              <w:rPr>
                <w:rFonts w:hint="eastAsia" w:ascii="MS UI Gothic" w:hAnsi="MS UI Gothic" w:eastAsia="MS UI Gothic"/>
                <w:sz w:val="24"/>
              </w:rPr>
              <w:t>財源を将来世代も利用可能な固定資産、貸付金や基金等にどの程度使ったかを表します。</w:t>
            </w:r>
          </w:p>
          <w:p>
            <w:pPr>
              <w:pStyle w:val="0"/>
              <w:snapToGrid w:val="0"/>
              <w:rPr>
                <w:rFonts w:hint="default" w:ascii="MS UI Gothic" w:hAnsi="MS UI Gothic" w:eastAsia="MS UI Gothic"/>
                <w:sz w:val="24"/>
              </w:rPr>
            </w:pPr>
          </w:p>
          <w:p>
            <w:pPr>
              <w:pStyle w:val="0"/>
              <w:snapToGrid w:val="0"/>
              <w:ind w:firstLine="241" w:firstLineChars="100"/>
              <w:rPr>
                <w:rFonts w:hint="default" w:ascii="MS UI Gothic" w:hAnsi="MS UI Gothic" w:eastAsia="MS UI Gothic"/>
                <w:sz w:val="24"/>
              </w:rPr>
            </w:pPr>
            <w:r>
              <w:rPr>
                <w:rFonts w:hint="eastAsia" w:ascii="MS UI Gothic" w:hAnsi="MS UI Gothic" w:eastAsia="MS UI Gothic"/>
                <w:b w:val="1"/>
                <w:color w:val="F79646"/>
                <w:sz w:val="24"/>
              </w:rPr>
              <w:t>①</w:t>
            </w:r>
            <w:r>
              <w:rPr>
                <w:rFonts w:hint="eastAsia" w:ascii="MS UI Gothic" w:hAnsi="MS UI Gothic" w:eastAsia="MS UI Gothic"/>
                <w:sz w:val="24"/>
              </w:rPr>
              <w:t>固定資産等の変動</w:t>
            </w:r>
          </w:p>
          <w:p>
            <w:pPr>
              <w:pStyle w:val="0"/>
              <w:snapToGrid w:val="0"/>
              <w:ind w:left="420" w:leftChars="200"/>
              <w:rPr>
                <w:rFonts w:hint="default" w:ascii="MS UI Gothic" w:hAnsi="MS UI Gothic" w:eastAsia="MS UI Gothic"/>
                <w:sz w:val="24"/>
              </w:rPr>
            </w:pPr>
            <w:r>
              <w:rPr>
                <w:rFonts w:hint="eastAsia" w:ascii="MS UI Gothic" w:hAnsi="MS UI Gothic" w:eastAsia="MS UI Gothic"/>
                <w:sz w:val="24"/>
              </w:rPr>
              <w:t>当該年度に学校、道路などの社会資本を取得した額と過去に取得した社会資本の経年劣化等に伴う減少額を表します。基金、貸付金、出資金など長期金融資産の当該年度における増加と減少を表します。</w:t>
            </w:r>
          </w:p>
          <w:p>
            <w:pPr>
              <w:pStyle w:val="0"/>
              <w:snapToGrid w:val="0"/>
              <w:rPr>
                <w:rFonts w:hint="default" w:ascii="MS UI Gothic" w:hAnsi="MS UI Gothic" w:eastAsia="MS UI Gothic"/>
                <w:b w:val="1"/>
                <w:color w:val="F79646"/>
                <w:sz w:val="24"/>
              </w:rPr>
            </w:pPr>
          </w:p>
          <w:p>
            <w:pPr>
              <w:pStyle w:val="0"/>
              <w:snapToGrid w:val="0"/>
              <w:ind w:firstLine="241" w:firstLineChars="100"/>
              <w:rPr>
                <w:rFonts w:hint="default" w:ascii="MS UI Gothic" w:hAnsi="MS UI Gothic" w:eastAsia="MS UI Gothic"/>
                <w:sz w:val="24"/>
              </w:rPr>
            </w:pPr>
            <w:r>
              <w:rPr>
                <w:rFonts w:hint="eastAsia" w:ascii="MS UI Gothic" w:hAnsi="MS UI Gothic" w:eastAsia="MS UI Gothic"/>
                <w:b w:val="1"/>
                <w:color w:val="F79646"/>
                <w:sz w:val="24"/>
              </w:rPr>
              <w:t>②</w:t>
            </w:r>
            <w:r>
              <w:rPr>
                <w:rFonts w:hint="eastAsia" w:ascii="MS UI Gothic" w:hAnsi="MS UI Gothic" w:eastAsia="MS UI Gothic"/>
                <w:sz w:val="24"/>
              </w:rPr>
              <w:t>資産評価差額</w:t>
            </w:r>
          </w:p>
          <w:p>
            <w:pPr>
              <w:pStyle w:val="0"/>
              <w:snapToGrid w:val="0"/>
              <w:ind w:firstLine="480" w:firstLineChars="200"/>
              <w:rPr>
                <w:rFonts w:hint="default" w:ascii="MS UI Gothic" w:hAnsi="MS UI Gothic" w:eastAsia="MS UI Gothic"/>
                <w:sz w:val="24"/>
              </w:rPr>
            </w:pPr>
            <w:r>
              <w:rPr>
                <w:rFonts w:hint="eastAsia" w:ascii="MS UI Gothic" w:hAnsi="MS UI Gothic" w:eastAsia="MS UI Gothic"/>
                <w:sz w:val="24"/>
              </w:rPr>
              <w:t>有価証券等の評価差額を表します。</w:t>
            </w:r>
          </w:p>
          <w:p>
            <w:pPr>
              <w:pStyle w:val="0"/>
              <w:snapToGrid w:val="0"/>
              <w:rPr>
                <w:rFonts w:hint="default" w:ascii="MS UI Gothic" w:hAnsi="MS UI Gothic" w:eastAsia="MS UI Gothic"/>
                <w:b w:val="1"/>
                <w:color w:val="F79646"/>
                <w:sz w:val="24"/>
              </w:rPr>
            </w:pPr>
          </w:p>
          <w:p>
            <w:pPr>
              <w:pStyle w:val="0"/>
              <w:snapToGrid w:val="0"/>
              <w:ind w:firstLine="241" w:firstLineChars="100"/>
              <w:rPr>
                <w:rFonts w:hint="default" w:ascii="MS UI Gothic" w:hAnsi="MS UI Gothic" w:eastAsia="MS UI Gothic"/>
                <w:sz w:val="24"/>
              </w:rPr>
            </w:pPr>
            <w:r>
              <w:rPr>
                <w:rFonts w:hint="eastAsia" w:ascii="MS UI Gothic" w:hAnsi="MS UI Gothic" w:eastAsia="MS UI Gothic"/>
                <w:b w:val="1"/>
                <w:color w:val="F79646"/>
                <w:sz w:val="24"/>
              </w:rPr>
              <w:t>③</w:t>
            </w:r>
            <w:r>
              <w:rPr>
                <w:rFonts w:hint="eastAsia" w:ascii="MS UI Gothic" w:hAnsi="MS UI Gothic" w:eastAsia="MS UI Gothic"/>
                <w:sz w:val="24"/>
              </w:rPr>
              <w:t>無償所管換等</w:t>
            </w:r>
          </w:p>
          <w:p>
            <w:pPr>
              <w:pStyle w:val="0"/>
              <w:snapToGrid w:val="0"/>
              <w:ind w:firstLine="480" w:firstLineChars="200"/>
              <w:rPr>
                <w:rFonts w:hint="default" w:ascii="MS UI Gothic" w:hAnsi="MS UI Gothic" w:eastAsia="MS UI Gothic"/>
                <w:sz w:val="24"/>
              </w:rPr>
            </w:pPr>
            <w:r>
              <w:rPr>
                <w:rFonts w:hint="eastAsia" w:ascii="MS UI Gothic" w:hAnsi="MS UI Gothic" w:eastAsia="MS UI Gothic"/>
                <w:sz w:val="24"/>
              </w:rPr>
              <w:t>無償で譲渡または取得した固定資産の評価額等を表します。</w:t>
            </w:r>
          </w:p>
        </w:tc>
      </w:tr>
    </w:tbl>
    <w:p>
      <w:pPr>
        <w:pStyle w:val="0"/>
        <w:ind w:right="960"/>
        <w:rPr>
          <w:rFonts w:hint="default" w:asciiTheme="majorEastAsia" w:hAnsiTheme="majorEastAsia" w:eastAsiaTheme="majorEastAsia"/>
          <w:kern w:val="0"/>
          <w:sz w:val="24"/>
        </w:rPr>
      </w:pPr>
      <w:r>
        <w:rPr>
          <w:rFonts w:hint="default" w:asciiTheme="majorEastAsia" w:hAnsiTheme="majorEastAsia" w:eastAsiaTheme="majorEastAsia"/>
          <w:kern w:val="0"/>
          <w:sz w:val="24"/>
        </w:rPr>
        <w:br w:type="page"/>
      </w:r>
    </w:p>
    <w:p>
      <w:pPr>
        <w:pStyle w:val="15"/>
        <w:numPr>
          <w:ilvl w:val="0"/>
          <w:numId w:val="4"/>
        </w:numPr>
        <w:ind w:leftChars="0"/>
        <w:jc w:val="left"/>
        <w:rPr>
          <w:rFonts w:hint="default" w:ascii="メイリオ" w:hAnsi="メイリオ" w:eastAsia="メイリオ"/>
          <w:kern w:val="0"/>
          <w:sz w:val="24"/>
        </w:rPr>
      </w:pPr>
      <w:r>
        <w:rPr>
          <w:rFonts w:hint="eastAsia" w:ascii="メイリオ" w:hAnsi="メイリオ" w:eastAsia="メイリオ"/>
          <w:kern w:val="0"/>
          <w:sz w:val="24"/>
        </w:rPr>
        <w:t>令和元年度純資産変動計算書（簡易表示、単位：千円）　　　　</w:t>
      </w:r>
    </w:p>
    <w:p>
      <w:pPr>
        <w:pStyle w:val="0"/>
        <w:jc w:val="center"/>
        <w:rPr>
          <w:rFonts w:hint="default" w:asciiTheme="minorEastAsia" w:hAnsiTheme="minorEastAsia"/>
          <w:kern w:val="0"/>
          <w:sz w:val="24"/>
        </w:rPr>
      </w:pPr>
      <w:r>
        <w:rPr>
          <w:rFonts w:hint="default"/>
        </w:rPr>
        <w:drawing>
          <wp:inline distT="0" distB="0" distL="0" distR="0">
            <wp:extent cx="5076825" cy="2809875"/>
            <wp:effectExtent l="0" t="0" r="0" b="0"/>
            <wp:docPr id="1073" name="Picture 18"/>
            <a:graphic xmlns:a="http://schemas.openxmlformats.org/drawingml/2006/main">
              <a:graphicData uri="http://schemas.openxmlformats.org/drawingml/2006/picture">
                <pic:pic xmlns:pic="http://schemas.openxmlformats.org/drawingml/2006/picture">
                  <pic:nvPicPr>
                    <pic:cNvPr id="1073" name="Picture 18"/>
                    <pic:cNvPicPr>
                      <a:picLocks noChangeAspect="1" noChangeArrowheads="1"/>
                    </pic:cNvPicPr>
                  </pic:nvPicPr>
                  <pic:blipFill>
                    <a:blip r:embed="rId22"/>
                    <a:stretch>
                      <a:fillRect/>
                    </a:stretch>
                  </pic:blipFill>
                  <pic:spPr>
                    <a:xfrm>
                      <a:off x="0" y="0"/>
                      <a:ext cx="5076825" cy="2809875"/>
                    </a:xfrm>
                    <a:prstGeom prst="rect">
                      <a:avLst/>
                    </a:prstGeom>
                    <a:noFill/>
                    <a:ln>
                      <a:noFill/>
                    </a:ln>
                  </pic:spPr>
                </pic:pic>
              </a:graphicData>
            </a:graphic>
          </wp:inline>
        </w:drawing>
      </w:r>
    </w:p>
    <w:p>
      <w:pPr>
        <w:pStyle w:val="0"/>
        <w:ind w:firstLine="1800" w:firstLineChars="1000"/>
        <w:rPr>
          <w:rFonts w:hint="default" w:ascii="ＭＳ ゴシック" w:hAnsi="ＭＳ ゴシック" w:eastAsia="ＭＳ ゴシック"/>
          <w:sz w:val="18"/>
        </w:rPr>
      </w:pPr>
      <w:r>
        <w:rPr>
          <w:rFonts w:hint="eastAsia" w:ascii="ＭＳ ゴシック" w:hAnsi="ＭＳ ゴシック" w:eastAsia="ＭＳ ゴシック"/>
          <w:sz w:val="18"/>
        </w:rPr>
        <w:t>※数値は、四捨五入しているため、合計値が一部合致しない場合があります。</w:t>
      </w:r>
    </w:p>
    <w:p>
      <w:pPr>
        <w:pStyle w:val="20"/>
        <w:spacing w:line="240" w:lineRule="auto"/>
        <w:ind w:firstLine="240" w:firstLineChars="100"/>
        <w:rPr>
          <w:rFonts w:hint="default" w:ascii="ＭＳ 明朝" w:hAnsi="ＭＳ 明朝" w:eastAsia="ＭＳ 明朝"/>
          <w:spacing w:val="0"/>
          <w:sz w:val="24"/>
        </w:rPr>
      </w:pPr>
    </w:p>
    <w:p>
      <w:pPr>
        <w:pStyle w:val="20"/>
        <w:spacing w:line="240" w:lineRule="auto"/>
        <w:ind w:firstLine="240" w:firstLineChars="100"/>
        <w:rPr>
          <w:rFonts w:hint="default" w:ascii="ＭＳ 明朝" w:hAnsi="ＭＳ 明朝" w:eastAsia="ＭＳ 明朝"/>
          <w:spacing w:val="0"/>
          <w:sz w:val="24"/>
        </w:rPr>
      </w:pPr>
      <w:r>
        <w:rPr>
          <w:rFonts w:hint="eastAsia" w:ascii="ＭＳ 明朝" w:hAnsi="ＭＳ 明朝" w:eastAsia="ＭＳ 明朝"/>
          <w:spacing w:val="0"/>
          <w:sz w:val="24"/>
        </w:rPr>
        <w:t>令和元年度は、本年度末純資産残高が一般会計等において約</w:t>
      </w:r>
      <w:r>
        <w:rPr>
          <w:rFonts w:hint="eastAsia" w:ascii="ＭＳ 明朝" w:hAnsi="ＭＳ 明朝" w:eastAsia="ＭＳ 明朝"/>
          <w:spacing w:val="0"/>
          <w:sz w:val="24"/>
        </w:rPr>
        <w:t>10</w:t>
      </w:r>
      <w:r>
        <w:rPr>
          <w:rFonts w:hint="eastAsia" w:ascii="ＭＳ 明朝" w:hAnsi="ＭＳ 明朝" w:eastAsia="ＭＳ 明朝"/>
          <w:spacing w:val="0"/>
          <w:sz w:val="24"/>
        </w:rPr>
        <w:t>億</w:t>
      </w:r>
      <w:r>
        <w:rPr>
          <w:rFonts w:hint="eastAsia" w:ascii="ＭＳ 明朝" w:hAnsi="ＭＳ 明朝" w:eastAsia="ＭＳ 明朝"/>
          <w:spacing w:val="0"/>
          <w:sz w:val="24"/>
        </w:rPr>
        <w:t>75</w:t>
      </w:r>
      <w:r>
        <w:rPr>
          <w:rFonts w:hint="eastAsia" w:ascii="ＭＳ 明朝" w:hAnsi="ＭＳ 明朝" w:eastAsia="ＭＳ 明朝"/>
          <w:spacing w:val="0"/>
          <w:sz w:val="24"/>
        </w:rPr>
        <w:t>百万円の減少、全体会計で約</w:t>
      </w:r>
      <w:r>
        <w:rPr>
          <w:rFonts w:hint="eastAsia" w:ascii="ＭＳ 明朝" w:hAnsi="ＭＳ 明朝" w:eastAsia="ＭＳ 明朝"/>
          <w:spacing w:val="0"/>
          <w:sz w:val="24"/>
        </w:rPr>
        <w:t>10</w:t>
      </w:r>
      <w:r>
        <w:rPr>
          <w:rFonts w:hint="eastAsia" w:ascii="ＭＳ 明朝" w:hAnsi="ＭＳ 明朝" w:eastAsia="ＭＳ 明朝"/>
          <w:spacing w:val="0"/>
          <w:sz w:val="24"/>
        </w:rPr>
        <w:t>億</w:t>
      </w:r>
      <w:r>
        <w:rPr>
          <w:rFonts w:hint="eastAsia" w:ascii="ＭＳ 明朝" w:hAnsi="ＭＳ 明朝" w:eastAsia="ＭＳ 明朝"/>
          <w:spacing w:val="0"/>
          <w:sz w:val="24"/>
        </w:rPr>
        <w:t>44</w:t>
      </w:r>
      <w:r>
        <w:rPr>
          <w:rFonts w:hint="eastAsia" w:ascii="ＭＳ 明朝" w:hAnsi="ＭＳ 明朝" w:eastAsia="ＭＳ 明朝"/>
          <w:spacing w:val="0"/>
          <w:sz w:val="24"/>
        </w:rPr>
        <w:t>百万円の減少、連結会計で約</w:t>
      </w:r>
      <w:r>
        <w:rPr>
          <w:rFonts w:hint="eastAsia" w:ascii="ＭＳ 明朝" w:hAnsi="ＭＳ 明朝" w:eastAsia="ＭＳ 明朝"/>
          <w:spacing w:val="0"/>
          <w:sz w:val="24"/>
        </w:rPr>
        <w:t>10</w:t>
      </w:r>
      <w:r>
        <w:rPr>
          <w:rFonts w:hint="eastAsia" w:ascii="ＭＳ 明朝" w:hAnsi="ＭＳ 明朝" w:eastAsia="ＭＳ 明朝"/>
          <w:spacing w:val="0"/>
          <w:sz w:val="24"/>
        </w:rPr>
        <w:t>億</w:t>
      </w:r>
      <w:r>
        <w:rPr>
          <w:rFonts w:hint="eastAsia" w:ascii="ＭＳ 明朝" w:hAnsi="ＭＳ 明朝" w:eastAsia="ＭＳ 明朝"/>
          <w:spacing w:val="0"/>
          <w:sz w:val="24"/>
        </w:rPr>
        <w:t>52</w:t>
      </w:r>
      <w:r>
        <w:rPr>
          <w:rFonts w:hint="eastAsia" w:ascii="ＭＳ 明朝" w:hAnsi="ＭＳ 明朝" w:eastAsia="ＭＳ 明朝"/>
          <w:spacing w:val="0"/>
          <w:sz w:val="24"/>
        </w:rPr>
        <w:t>百万円の減少となっています。</w:t>
      </w:r>
    </w:p>
    <w:p>
      <w:pPr>
        <w:pStyle w:val="20"/>
        <w:spacing w:line="240" w:lineRule="auto"/>
        <w:ind w:firstLine="240" w:firstLineChars="100"/>
        <w:rPr>
          <w:rFonts w:hint="default" w:ascii="ＭＳ 明朝" w:hAnsi="ＭＳ 明朝" w:eastAsia="ＭＳ 明朝"/>
          <w:spacing w:val="0"/>
          <w:sz w:val="24"/>
        </w:rPr>
      </w:pPr>
      <w:r>
        <w:rPr>
          <w:rFonts w:hint="eastAsia" w:ascii="ＭＳ 明朝" w:hAnsi="ＭＳ 明朝" w:eastAsia="ＭＳ 明朝"/>
          <w:spacing w:val="0"/>
          <w:sz w:val="24"/>
        </w:rPr>
        <w:t>純資産変動計算書の本年度純資産変動額は、企業会計の利益剰余金の増減にあたるところでもあり、今後の推移をみる必要があります。</w:t>
      </w:r>
    </w:p>
    <w:p>
      <w:pPr>
        <w:pStyle w:val="0"/>
        <w:rPr>
          <w:rFonts w:hint="default" w:asciiTheme="minorEastAsia" w:hAnsiTheme="minorEastAsia"/>
          <w:kern w:val="0"/>
          <w:sz w:val="24"/>
        </w:rPr>
      </w:pPr>
    </w:p>
    <w:p>
      <w:pPr>
        <w:pStyle w:val="0"/>
        <w:jc w:val="left"/>
        <w:rPr>
          <w:rFonts w:hint="default" w:ascii="メイリオ" w:hAnsi="メイリオ" w:eastAsia="メイリオ"/>
          <w:kern w:val="0"/>
          <w:sz w:val="24"/>
        </w:rPr>
      </w:pPr>
      <w:r>
        <w:rPr>
          <w:rFonts w:hint="eastAsia" w:ascii="メイリオ" w:hAnsi="メイリオ" w:eastAsia="メイリオ"/>
          <w:kern w:val="0"/>
          <w:sz w:val="24"/>
        </w:rPr>
        <w:t>②純資産変動計算書　前年対比（単位：千円）</w:t>
      </w:r>
    </w:p>
    <w:p>
      <w:pPr>
        <w:pStyle w:val="0"/>
        <w:jc w:val="center"/>
        <w:rPr>
          <w:rFonts w:hint="default" w:asciiTheme="minorEastAsia" w:hAnsiTheme="minorEastAsia"/>
          <w:kern w:val="0"/>
          <w:sz w:val="24"/>
        </w:rPr>
      </w:pPr>
      <w:r>
        <w:rPr>
          <w:rFonts w:hint="default"/>
        </w:rPr>
        <w:drawing>
          <wp:inline distT="0" distB="0" distL="0" distR="0">
            <wp:extent cx="6192520" cy="1916430"/>
            <wp:effectExtent l="0" t="0" r="0" b="0"/>
            <wp:docPr id="1074" name="Picture 19"/>
            <a:graphic xmlns:a="http://schemas.openxmlformats.org/drawingml/2006/main">
              <a:graphicData uri="http://schemas.openxmlformats.org/drawingml/2006/picture">
                <pic:pic xmlns:pic="http://schemas.openxmlformats.org/drawingml/2006/picture">
                  <pic:nvPicPr>
                    <pic:cNvPr id="1074" name="Picture 19"/>
                    <pic:cNvPicPr>
                      <a:picLocks noChangeAspect="1" noChangeArrowheads="1"/>
                    </pic:cNvPicPr>
                  </pic:nvPicPr>
                  <pic:blipFill>
                    <a:blip r:embed="rId23"/>
                    <a:stretch>
                      <a:fillRect/>
                    </a:stretch>
                  </pic:blipFill>
                  <pic:spPr>
                    <a:xfrm>
                      <a:off x="0" y="0"/>
                      <a:ext cx="6192520" cy="1916430"/>
                    </a:xfrm>
                    <a:prstGeom prst="rect">
                      <a:avLst/>
                    </a:prstGeom>
                    <a:noFill/>
                    <a:ln>
                      <a:noFill/>
                    </a:ln>
                  </pic:spPr>
                </pic:pic>
              </a:graphicData>
            </a:graphic>
          </wp:inline>
        </w:drawing>
      </w:r>
    </w:p>
    <w:p>
      <w:pPr>
        <w:pStyle w:val="0"/>
        <w:ind w:firstLine="1620" w:firstLineChars="900"/>
        <w:rPr>
          <w:rFonts w:hint="default" w:ascii="ＭＳ ゴシック" w:hAnsi="ＭＳ ゴシック" w:eastAsia="ＭＳ ゴシック"/>
          <w:sz w:val="18"/>
        </w:rPr>
      </w:pPr>
      <w:r>
        <w:rPr>
          <w:rFonts w:hint="eastAsia" w:ascii="ＭＳ ゴシック" w:hAnsi="ＭＳ ゴシック" w:eastAsia="ＭＳ ゴシック"/>
          <w:sz w:val="18"/>
        </w:rPr>
        <w:t>※数値は、四捨五入しているため、合計値が一部合致しない場合があります。</w:t>
      </w:r>
    </w:p>
    <w:p>
      <w:pPr>
        <w:pStyle w:val="20"/>
        <w:spacing w:line="240" w:lineRule="auto"/>
        <w:ind w:firstLine="246" w:firstLineChars="100"/>
        <w:rPr>
          <w:rFonts w:hint="default" w:ascii="ＭＳ 明朝" w:hAnsi="ＭＳ 明朝" w:eastAsia="ＭＳ 明朝"/>
          <w:sz w:val="24"/>
        </w:rPr>
      </w:pPr>
    </w:p>
    <w:p>
      <w:pPr>
        <w:pStyle w:val="20"/>
        <w:spacing w:line="240" w:lineRule="auto"/>
        <w:ind w:firstLine="246" w:firstLineChars="100"/>
        <w:rPr>
          <w:rFonts w:hint="default" w:ascii="ＭＳ 明朝" w:hAnsi="ＭＳ 明朝" w:eastAsia="ＭＳ 明朝"/>
          <w:sz w:val="24"/>
        </w:rPr>
      </w:pPr>
      <w:r>
        <w:rPr>
          <w:rFonts w:hint="eastAsia" w:ascii="ＭＳ 明朝" w:hAnsi="ＭＳ 明朝" w:eastAsia="ＭＳ 明朝"/>
          <w:sz w:val="24"/>
        </w:rPr>
        <w:t>前年度と比較すると、一般会計等では本年度末純資産残高が</w:t>
      </w:r>
      <w:r>
        <w:rPr>
          <w:rFonts w:hint="eastAsia" w:ascii="ＭＳ 明朝" w:hAnsi="ＭＳ 明朝" w:eastAsia="ＭＳ 明朝"/>
          <w:spacing w:val="0"/>
          <w:sz w:val="24"/>
        </w:rPr>
        <w:t>7.8</w:t>
      </w:r>
      <w:r>
        <w:rPr>
          <w:rFonts w:hint="eastAsia" w:ascii="ＭＳ 明朝" w:hAnsi="ＭＳ 明朝" w:eastAsia="ＭＳ 明朝"/>
          <w:sz w:val="24"/>
        </w:rPr>
        <w:t>％の減少、全体会計で</w:t>
      </w:r>
      <w:r>
        <w:rPr>
          <w:rFonts w:hint="eastAsia" w:ascii="ＭＳ 明朝" w:hAnsi="ＭＳ 明朝" w:eastAsia="ＭＳ 明朝"/>
          <w:sz w:val="24"/>
        </w:rPr>
        <w:t>7.5</w:t>
      </w:r>
      <w:r>
        <w:rPr>
          <w:rFonts w:hint="eastAsia" w:ascii="ＭＳ 明朝" w:hAnsi="ＭＳ 明朝" w:eastAsia="ＭＳ 明朝"/>
          <w:sz w:val="24"/>
        </w:rPr>
        <w:t>％の減少、連結会計で</w:t>
      </w:r>
      <w:r>
        <w:rPr>
          <w:rFonts w:hint="eastAsia" w:ascii="ＭＳ 明朝" w:hAnsi="ＭＳ 明朝" w:eastAsia="ＭＳ 明朝"/>
          <w:sz w:val="24"/>
        </w:rPr>
        <w:t>7.5</w:t>
      </w:r>
      <w:r>
        <w:rPr>
          <w:rFonts w:hint="eastAsia" w:ascii="ＭＳ 明朝" w:hAnsi="ＭＳ 明朝" w:eastAsia="ＭＳ 明朝"/>
          <w:sz w:val="24"/>
        </w:rPr>
        <w:t>％の減少となっています。</w:t>
      </w:r>
    </w:p>
    <w:p>
      <w:pPr>
        <w:pStyle w:val="0"/>
        <w:rPr>
          <w:rFonts w:hint="default" w:ascii="メイリオ" w:hAnsi="メイリオ" w:eastAsia="メイリオ"/>
          <w:kern w:val="0"/>
          <w:sz w:val="28"/>
        </w:rPr>
      </w:pPr>
      <w:r>
        <w:rPr>
          <w:rFonts w:hint="default" w:asciiTheme="minorEastAsia" w:hAnsiTheme="minorEastAsia"/>
          <w:kern w:val="0"/>
          <w:sz w:val="24"/>
        </w:rPr>
        <w:br w:type="page"/>
      </w:r>
      <w:r>
        <w:rPr>
          <w:rFonts w:hint="eastAsia" w:ascii="メイリオ" w:hAnsi="メイリオ" w:eastAsia="メイリオ"/>
          <w:color w:val="ED7D31" w:themeColor="accent2"/>
          <w:kern w:val="0"/>
          <w:sz w:val="28"/>
        </w:rPr>
        <w:t>（４）</w:t>
      </w:r>
      <w:r>
        <w:rPr>
          <w:rFonts w:hint="eastAsia" w:ascii="メイリオ" w:hAnsi="メイリオ" w:eastAsia="メイリオ"/>
          <w:kern w:val="0"/>
          <w:sz w:val="28"/>
        </w:rPr>
        <w:t>資金収支計算書</w:t>
      </w:r>
    </w:p>
    <w:p>
      <w:pPr>
        <w:pStyle w:val="20"/>
        <w:spacing w:line="240" w:lineRule="auto"/>
        <w:ind w:firstLine="240" w:firstLineChars="100"/>
        <w:rPr>
          <w:rFonts w:hint="default" w:ascii="ＭＳ 明朝" w:hAnsi="ＭＳ 明朝" w:eastAsia="ＭＳ 明朝"/>
          <w:spacing w:val="0"/>
          <w:kern w:val="2"/>
          <w:sz w:val="24"/>
        </w:rPr>
      </w:pPr>
      <w:r>
        <w:rPr>
          <w:rFonts w:hint="eastAsia" w:ascii="ＭＳ 明朝" w:hAnsi="ＭＳ 明朝" w:eastAsia="ＭＳ 明朝"/>
          <w:spacing w:val="0"/>
          <w:kern w:val="2"/>
          <w:sz w:val="24"/>
        </w:rPr>
        <w:t>資金収支計算書は、地方公会計制度では、資金収支の状態をみるものと定義しています。資金収支の状態とは、自治体の内部者（首長、議会、補助機関等）の活動による資金の期中取引高を意味します。資金収支の状態は、地方公共団体の資金利用状況及び資金獲得能力を評価する上で有用な財務情報としています。</w:t>
      </w:r>
    </w:p>
    <w:p>
      <w:pPr>
        <w:pStyle w:val="20"/>
        <w:spacing w:line="240" w:lineRule="auto"/>
        <w:ind w:firstLine="240" w:firstLineChars="100"/>
        <w:rPr>
          <w:rFonts w:hint="default" w:ascii="ＭＳ 明朝" w:hAnsi="ＭＳ 明朝" w:eastAsia="ＭＳ 明朝"/>
          <w:spacing w:val="0"/>
          <w:kern w:val="2"/>
          <w:sz w:val="24"/>
        </w:rPr>
      </w:pPr>
    </w:p>
    <w:tbl>
      <w:tblPr>
        <w:tblStyle w:val="11"/>
        <w:tblW w:w="9639" w:type="dxa"/>
        <w:jc w:val="center"/>
        <w:tblInd w:w="0" w:type="dxa"/>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Layout w:type="fixed"/>
        <w:tblCellMar>
          <w:top w:w="113" w:type="dxa"/>
          <w:bottom w:w="113" w:type="dxa"/>
        </w:tblCellMar>
        <w:tblLook w:firstRow="1" w:lastRow="1" w:firstColumn="1" w:lastColumn="1" w:noHBand="0" w:noVBand="0" w:val="01E0"/>
      </w:tblPr>
      <w:tblGrid>
        <w:gridCol w:w="9639"/>
      </w:tblGrid>
      <w:tr>
        <w:trPr/>
        <w:tc>
          <w:tcPr>
            <w:tcW w:w="9639" w:type="dxa"/>
            <w:shd w:val="thinHorzStripe" w:color="FFFFF0" w:fill="auto"/>
            <w:vAlign w:val="top"/>
          </w:tcPr>
          <w:p>
            <w:pPr>
              <w:pStyle w:val="0"/>
              <w:rPr>
                <w:rFonts w:hint="default" w:ascii="MS UI Gothic" w:hAnsi="MS UI Gothic" w:eastAsia="MS UI Gothic"/>
                <w:sz w:val="24"/>
              </w:rPr>
            </w:pPr>
            <w:r>
              <w:rPr>
                <w:rFonts w:hint="eastAsia" w:ascii="MS UI Gothic" w:hAnsi="MS UI Gothic" w:eastAsia="MS UI Gothic"/>
                <w:b w:val="1"/>
                <w:color w:val="F79646"/>
                <w:sz w:val="24"/>
              </w:rPr>
              <w:t>①</w:t>
            </w:r>
            <w:r>
              <w:rPr>
                <w:rFonts w:hint="eastAsia" w:ascii="MS UI Gothic" w:hAnsi="MS UI Gothic" w:eastAsia="MS UI Gothic"/>
                <w:sz w:val="24"/>
              </w:rPr>
              <w:t>業務活動収支：行政サービスを行なう中で、毎年度継続的に収入、支出されるもの</w:t>
            </w:r>
          </w:p>
          <w:p>
            <w:pPr>
              <w:pStyle w:val="0"/>
              <w:rPr>
                <w:rFonts w:hint="default" w:ascii="MS UI Gothic" w:hAnsi="MS UI Gothic" w:eastAsia="MS UI Gothic"/>
                <w:sz w:val="24"/>
              </w:rPr>
            </w:pPr>
            <w:r>
              <w:rPr>
                <w:rFonts w:hint="eastAsia" w:ascii="MS UI Gothic" w:hAnsi="MS UI Gothic" w:eastAsia="MS UI Gothic"/>
                <w:b w:val="1"/>
                <w:color w:val="F79646"/>
                <w:sz w:val="24"/>
              </w:rPr>
              <w:t>②</w:t>
            </w:r>
            <w:r>
              <w:rPr>
                <w:rFonts w:hint="eastAsia" w:ascii="MS UI Gothic" w:hAnsi="MS UI Gothic" w:eastAsia="MS UI Gothic"/>
                <w:sz w:val="24"/>
              </w:rPr>
              <w:t>投資活動収支：学校、公園、道路などの資産形成や投資、基金などの収入、支出など</w:t>
            </w:r>
          </w:p>
          <w:p>
            <w:pPr>
              <w:pStyle w:val="0"/>
              <w:rPr>
                <w:rFonts w:hint="default" w:ascii="MS UI Gothic" w:hAnsi="MS UI Gothic" w:eastAsia="MS UI Gothic"/>
              </w:rPr>
            </w:pPr>
            <w:r>
              <w:rPr>
                <w:rFonts w:hint="eastAsia" w:ascii="MS UI Gothic" w:hAnsi="MS UI Gothic" w:eastAsia="MS UI Gothic"/>
                <w:b w:val="1"/>
                <w:color w:val="F79646"/>
                <w:sz w:val="24"/>
              </w:rPr>
              <w:t>③</w:t>
            </w:r>
            <w:r>
              <w:rPr>
                <w:rFonts w:hint="eastAsia" w:ascii="MS UI Gothic" w:hAnsi="MS UI Gothic" w:eastAsia="MS UI Gothic"/>
                <w:sz w:val="24"/>
              </w:rPr>
              <w:t>財務活動収支：公債、借入金などの収入、支出など</w:t>
            </w:r>
          </w:p>
        </w:tc>
      </w:tr>
    </w:tbl>
    <w:p>
      <w:pPr>
        <w:pStyle w:val="0"/>
        <w:ind w:right="960"/>
        <w:rPr>
          <w:rFonts w:hint="default" w:asciiTheme="majorEastAsia" w:hAnsiTheme="majorEastAsia" w:eastAsiaTheme="majorEastAsia"/>
          <w:kern w:val="0"/>
          <w:sz w:val="24"/>
        </w:rPr>
      </w:pPr>
    </w:p>
    <w:p>
      <w:pPr>
        <w:pStyle w:val="15"/>
        <w:numPr>
          <w:ilvl w:val="0"/>
          <w:numId w:val="5"/>
        </w:numPr>
        <w:ind w:leftChars="0" w:right="107"/>
        <w:rPr>
          <w:rFonts w:hint="default" w:ascii="メイリオ" w:hAnsi="メイリオ" w:eastAsia="メイリオ"/>
          <w:kern w:val="0"/>
          <w:sz w:val="24"/>
        </w:rPr>
      </w:pPr>
      <w:r>
        <w:rPr>
          <w:rFonts w:hint="eastAsia" w:ascii="メイリオ" w:hAnsi="メイリオ" w:eastAsia="メイリオ"/>
          <w:kern w:val="0"/>
          <w:sz w:val="24"/>
        </w:rPr>
        <w:t>令和元年度資金収支計算書（簡易表示、単位：千円）</w:t>
      </w:r>
    </w:p>
    <w:p>
      <w:pPr>
        <w:pStyle w:val="0"/>
        <w:ind w:right="-35"/>
        <w:jc w:val="center"/>
        <w:rPr>
          <w:rFonts w:hint="default" w:asciiTheme="majorEastAsia" w:hAnsiTheme="majorEastAsia" w:eastAsiaTheme="majorEastAsia"/>
          <w:kern w:val="0"/>
          <w:sz w:val="24"/>
        </w:rPr>
      </w:pPr>
      <w:r>
        <w:rPr>
          <w:rFonts w:hint="default"/>
        </w:rPr>
        <w:drawing>
          <wp:inline distT="0" distB="0" distL="0" distR="0">
            <wp:extent cx="5524500" cy="4210050"/>
            <wp:effectExtent l="0" t="0" r="0" b="0"/>
            <wp:docPr id="1075" name="Picture 20"/>
            <a:graphic xmlns:a="http://schemas.openxmlformats.org/drawingml/2006/main">
              <a:graphicData uri="http://schemas.openxmlformats.org/drawingml/2006/picture">
                <pic:pic xmlns:pic="http://schemas.openxmlformats.org/drawingml/2006/picture">
                  <pic:nvPicPr>
                    <pic:cNvPr id="1075" name="Picture 20"/>
                    <pic:cNvPicPr>
                      <a:picLocks noChangeAspect="1" noChangeArrowheads="1"/>
                    </pic:cNvPicPr>
                  </pic:nvPicPr>
                  <pic:blipFill>
                    <a:blip r:embed="rId24"/>
                    <a:stretch>
                      <a:fillRect/>
                    </a:stretch>
                  </pic:blipFill>
                  <pic:spPr>
                    <a:xfrm>
                      <a:off x="0" y="0"/>
                      <a:ext cx="5524500" cy="4210050"/>
                    </a:xfrm>
                    <a:prstGeom prst="rect">
                      <a:avLst/>
                    </a:prstGeom>
                    <a:noFill/>
                    <a:ln>
                      <a:noFill/>
                    </a:ln>
                  </pic:spPr>
                </pic:pic>
              </a:graphicData>
            </a:graphic>
          </wp:inline>
        </w:drawing>
      </w:r>
    </w:p>
    <w:p>
      <w:pPr>
        <w:pStyle w:val="0"/>
        <w:ind w:firstLine="1800" w:firstLineChars="1000"/>
        <w:rPr>
          <w:rFonts w:hint="default" w:ascii="ＭＳ ゴシック" w:hAnsi="ＭＳ ゴシック" w:eastAsia="ＭＳ ゴシック"/>
          <w:sz w:val="18"/>
        </w:rPr>
      </w:pPr>
      <w:r>
        <w:rPr>
          <w:rFonts w:hint="eastAsia" w:ascii="ＭＳ ゴシック" w:hAnsi="ＭＳ ゴシック" w:eastAsia="ＭＳ ゴシック"/>
          <w:sz w:val="18"/>
        </w:rPr>
        <w:t>※数値は、四捨五入しているため、合計値が一部合致しない場合があります。</w:t>
      </w:r>
    </w:p>
    <w:p>
      <w:pPr>
        <w:pStyle w:val="0"/>
        <w:ind w:firstLine="1620" w:firstLineChars="900"/>
        <w:rPr>
          <w:rFonts w:hint="default" w:ascii="ＭＳ ゴシック" w:hAnsi="ＭＳ ゴシック" w:eastAsia="ＭＳ ゴシック"/>
          <w:sz w:val="18"/>
        </w:rPr>
      </w:pPr>
    </w:p>
    <w:p>
      <w:pPr>
        <w:pStyle w:val="20"/>
        <w:spacing w:line="240" w:lineRule="auto"/>
        <w:ind w:firstLine="240" w:firstLineChars="100"/>
        <w:rPr>
          <w:rFonts w:hint="default" w:ascii="ＭＳ 明朝" w:hAnsi="ＭＳ 明朝" w:eastAsia="ＭＳ 明朝"/>
          <w:spacing w:val="0"/>
          <w:sz w:val="24"/>
        </w:rPr>
      </w:pPr>
      <w:r>
        <w:rPr>
          <w:rFonts w:hint="eastAsia" w:ascii="ＭＳ 明朝" w:hAnsi="ＭＳ 明朝" w:eastAsia="ＭＳ 明朝"/>
          <w:spacing w:val="0"/>
          <w:sz w:val="24"/>
        </w:rPr>
        <w:t>令和元年度の資金収支計算書を見ると、本年度資金収支額は一般会計等で約</w:t>
      </w:r>
      <w:r>
        <w:rPr>
          <w:rFonts w:hint="eastAsia" w:ascii="ＭＳ 明朝" w:hAnsi="ＭＳ 明朝" w:eastAsia="ＭＳ 明朝"/>
          <w:spacing w:val="0"/>
          <w:sz w:val="24"/>
        </w:rPr>
        <w:t>2</w:t>
      </w:r>
      <w:r>
        <w:rPr>
          <w:rFonts w:hint="eastAsia" w:ascii="ＭＳ 明朝" w:hAnsi="ＭＳ 明朝" w:eastAsia="ＭＳ 明朝"/>
          <w:spacing w:val="0"/>
          <w:sz w:val="24"/>
        </w:rPr>
        <w:t>百万円のプラスとなり、資金残高は約</w:t>
      </w:r>
      <w:r>
        <w:rPr>
          <w:rFonts w:hint="eastAsia" w:ascii="ＭＳ 明朝" w:hAnsi="ＭＳ 明朝" w:eastAsia="ＭＳ 明朝"/>
          <w:spacing w:val="0"/>
          <w:sz w:val="24"/>
        </w:rPr>
        <w:t>56</w:t>
      </w:r>
      <w:r>
        <w:rPr>
          <w:rFonts w:hint="eastAsia" w:ascii="ＭＳ 明朝" w:hAnsi="ＭＳ 明朝" w:eastAsia="ＭＳ 明朝"/>
          <w:spacing w:val="0"/>
          <w:sz w:val="24"/>
        </w:rPr>
        <w:t>百万円に増加しました。全体会計では約</w:t>
      </w:r>
      <w:r>
        <w:rPr>
          <w:rFonts w:hint="eastAsia" w:ascii="ＭＳ 明朝" w:hAnsi="ＭＳ 明朝" w:eastAsia="ＭＳ 明朝"/>
          <w:spacing w:val="0"/>
          <w:sz w:val="24"/>
        </w:rPr>
        <w:t>2</w:t>
      </w:r>
      <w:r>
        <w:rPr>
          <w:rFonts w:hint="eastAsia" w:ascii="ＭＳ 明朝" w:hAnsi="ＭＳ 明朝" w:eastAsia="ＭＳ 明朝"/>
          <w:spacing w:val="0"/>
          <w:sz w:val="24"/>
        </w:rPr>
        <w:t>百万円のプラスで、資金残高は約</w:t>
      </w:r>
      <w:r>
        <w:rPr>
          <w:rFonts w:hint="eastAsia" w:ascii="ＭＳ 明朝" w:hAnsi="ＭＳ 明朝" w:eastAsia="ＭＳ 明朝"/>
          <w:spacing w:val="0"/>
          <w:sz w:val="24"/>
        </w:rPr>
        <w:t>68</w:t>
      </w:r>
      <w:r>
        <w:rPr>
          <w:rFonts w:hint="eastAsia" w:ascii="ＭＳ 明朝" w:hAnsi="ＭＳ 明朝" w:eastAsia="ＭＳ 明朝"/>
          <w:spacing w:val="0"/>
          <w:sz w:val="24"/>
        </w:rPr>
        <w:t>百万円に増加、連結会計では約</w:t>
      </w:r>
      <w:r>
        <w:rPr>
          <w:rFonts w:hint="eastAsia" w:ascii="ＭＳ 明朝" w:hAnsi="ＭＳ 明朝" w:eastAsia="ＭＳ 明朝"/>
          <w:spacing w:val="0"/>
          <w:sz w:val="24"/>
        </w:rPr>
        <w:t>1</w:t>
      </w:r>
      <w:r>
        <w:rPr>
          <w:rFonts w:hint="eastAsia" w:ascii="ＭＳ 明朝" w:hAnsi="ＭＳ 明朝" w:eastAsia="ＭＳ 明朝"/>
          <w:spacing w:val="0"/>
          <w:sz w:val="24"/>
        </w:rPr>
        <w:t>百万円のプラスで、資金残高は約</w:t>
      </w:r>
      <w:r>
        <w:rPr>
          <w:rFonts w:hint="eastAsia" w:ascii="ＭＳ 明朝" w:hAnsi="ＭＳ 明朝" w:eastAsia="ＭＳ 明朝"/>
          <w:spacing w:val="0"/>
          <w:sz w:val="24"/>
        </w:rPr>
        <w:t>78</w:t>
      </w:r>
      <w:r>
        <w:rPr>
          <w:rFonts w:hint="eastAsia" w:ascii="ＭＳ 明朝" w:hAnsi="ＭＳ 明朝" w:eastAsia="ＭＳ 明朝"/>
          <w:spacing w:val="0"/>
          <w:sz w:val="24"/>
        </w:rPr>
        <w:t>百万円に増加しました。</w:t>
      </w:r>
    </w:p>
    <w:p>
      <w:pPr>
        <w:pStyle w:val="20"/>
        <w:numPr>
          <w:ilvl w:val="0"/>
          <w:numId w:val="2"/>
        </w:numPr>
        <w:rPr>
          <w:rFonts w:hint="default" w:ascii="メイリオ" w:hAnsi="メイリオ" w:eastAsia="メイリオ"/>
          <w:sz w:val="24"/>
        </w:rPr>
      </w:pPr>
      <w:r>
        <w:rPr>
          <w:rFonts w:hint="eastAsia" w:ascii="メイリオ" w:hAnsi="メイリオ" w:eastAsia="メイリオ"/>
          <w:sz w:val="24"/>
        </w:rPr>
        <w:t>資金収支計算書（全体表示、単位：千円）</w:t>
      </w:r>
    </w:p>
    <w:p>
      <w:pPr>
        <w:pStyle w:val="15"/>
        <w:ind w:left="360" w:leftChars="0"/>
        <w:jc w:val="center"/>
        <w:rPr>
          <w:rFonts w:hint="default" w:asciiTheme="majorEastAsia" w:hAnsiTheme="majorEastAsia" w:eastAsiaTheme="majorEastAsia"/>
          <w:sz w:val="24"/>
        </w:rPr>
      </w:pPr>
      <w:r>
        <w:rPr>
          <w:rFonts w:hint="default"/>
        </w:rPr>
        <w:drawing>
          <wp:inline distT="0" distB="0" distL="0" distR="0">
            <wp:extent cx="5086985" cy="7867650"/>
            <wp:effectExtent l="0" t="0" r="0" b="0"/>
            <wp:docPr id="1076" name="Picture 21"/>
            <a:graphic xmlns:a="http://schemas.openxmlformats.org/drawingml/2006/main">
              <a:graphicData uri="http://schemas.openxmlformats.org/drawingml/2006/picture">
                <pic:pic xmlns:pic="http://schemas.openxmlformats.org/drawingml/2006/picture">
                  <pic:nvPicPr>
                    <pic:cNvPr id="1076" name="Picture 21"/>
                    <pic:cNvPicPr>
                      <a:picLocks noChangeAspect="1" noChangeArrowheads="1"/>
                    </pic:cNvPicPr>
                  </pic:nvPicPr>
                  <pic:blipFill>
                    <a:blip r:embed="rId25"/>
                    <a:stretch>
                      <a:fillRect/>
                    </a:stretch>
                  </pic:blipFill>
                  <pic:spPr>
                    <a:xfrm>
                      <a:off x="0" y="0"/>
                      <a:ext cx="5086985" cy="7867650"/>
                    </a:xfrm>
                    <a:prstGeom prst="rect">
                      <a:avLst/>
                    </a:prstGeom>
                    <a:noFill/>
                    <a:ln>
                      <a:noFill/>
                    </a:ln>
                  </pic:spPr>
                </pic:pic>
              </a:graphicData>
            </a:graphic>
          </wp:inline>
        </w:drawing>
      </w:r>
    </w:p>
    <w:p>
      <w:pPr>
        <w:pStyle w:val="0"/>
        <w:spacing w:line="0" w:lineRule="atLeast"/>
        <w:ind w:firstLine="1530" w:firstLineChars="850"/>
        <w:rPr>
          <w:rFonts w:hint="default" w:ascii="ＭＳ ゴシック" w:hAnsi="ＭＳ ゴシック" w:eastAsia="ＭＳ ゴシック"/>
          <w:sz w:val="18"/>
        </w:rPr>
      </w:pPr>
      <w:r>
        <w:rPr>
          <w:rFonts w:hint="eastAsia" w:ascii="ＭＳ ゴシック" w:hAnsi="ＭＳ ゴシック" w:eastAsia="ＭＳ ゴシック"/>
          <w:sz w:val="18"/>
        </w:rPr>
        <w:t>※数値は、四捨五入しているため、合計値が一部合致しない場合があります。</w:t>
      </w:r>
    </w:p>
    <w:p>
      <w:pPr>
        <w:pStyle w:val="0"/>
        <w:spacing w:line="0" w:lineRule="atLeast"/>
        <w:ind w:firstLine="1710" w:firstLineChars="950"/>
        <w:rPr>
          <w:rFonts w:hint="default" w:asciiTheme="majorEastAsia" w:hAnsiTheme="majorEastAsia" w:eastAsiaTheme="majorEastAsia"/>
          <w:sz w:val="24"/>
        </w:rPr>
      </w:pPr>
      <w:r>
        <w:rPr>
          <w:rFonts w:hint="eastAsia" w:ascii="ＭＳ ゴシック" w:hAnsi="ＭＳ ゴシック" w:eastAsia="ＭＳ ゴシック"/>
          <w:sz w:val="18"/>
        </w:rPr>
        <w:t>全体財務書類の他会計への繰出支出は内部取引のため相殺消去処理しています。</w:t>
      </w:r>
      <w:r>
        <w:rPr>
          <w:rFonts w:hint="default" w:asciiTheme="majorEastAsia" w:hAnsiTheme="majorEastAsia" w:eastAsiaTheme="majorEastAsia"/>
          <w:sz w:val="24"/>
        </w:rPr>
        <w:br w:type="page"/>
      </w:r>
    </w:p>
    <w:p>
      <w:pPr>
        <w:pStyle w:val="20"/>
        <w:numPr>
          <w:ilvl w:val="0"/>
          <w:numId w:val="2"/>
        </w:numPr>
        <w:rPr>
          <w:rFonts w:hint="default" w:ascii="メイリオ" w:hAnsi="メイリオ" w:eastAsia="メイリオ"/>
          <w:sz w:val="24"/>
        </w:rPr>
      </w:pPr>
      <w:r>
        <w:rPr>
          <w:rFonts w:hint="eastAsia" w:ascii="メイリオ" w:hAnsi="メイリオ" w:eastAsia="メイリオ"/>
          <w:sz w:val="24"/>
        </w:rPr>
        <w:t>資金収支計算書　前年対比（単位：千円）</w:t>
      </w:r>
    </w:p>
    <w:p>
      <w:pPr>
        <w:pStyle w:val="0"/>
        <w:spacing w:line="0" w:lineRule="atLeast"/>
        <w:jc w:val="center"/>
        <w:rPr>
          <w:rFonts w:hint="default" w:asciiTheme="majorEastAsia" w:hAnsiTheme="majorEastAsia" w:eastAsiaTheme="majorEastAsia"/>
          <w:sz w:val="24"/>
        </w:rPr>
      </w:pPr>
      <w:r>
        <w:rPr>
          <w:rFonts w:hint="default"/>
        </w:rPr>
        <w:drawing>
          <wp:inline distT="0" distB="0" distL="0" distR="0">
            <wp:extent cx="6192520" cy="6387465"/>
            <wp:effectExtent l="0" t="0" r="0" b="0"/>
            <wp:docPr id="1077" name="Picture 22"/>
            <a:graphic xmlns:a="http://schemas.openxmlformats.org/drawingml/2006/main">
              <a:graphicData uri="http://schemas.openxmlformats.org/drawingml/2006/picture">
                <pic:pic xmlns:pic="http://schemas.openxmlformats.org/drawingml/2006/picture">
                  <pic:nvPicPr>
                    <pic:cNvPr id="1077" name="Picture 22"/>
                    <pic:cNvPicPr>
                      <a:picLocks noChangeAspect="1" noChangeArrowheads="1"/>
                    </pic:cNvPicPr>
                  </pic:nvPicPr>
                  <pic:blipFill>
                    <a:blip r:embed="rId26"/>
                    <a:stretch>
                      <a:fillRect/>
                    </a:stretch>
                  </pic:blipFill>
                  <pic:spPr>
                    <a:xfrm>
                      <a:off x="0" y="0"/>
                      <a:ext cx="6192520" cy="6387465"/>
                    </a:xfrm>
                    <a:prstGeom prst="rect">
                      <a:avLst/>
                    </a:prstGeom>
                    <a:noFill/>
                    <a:ln>
                      <a:noFill/>
                    </a:ln>
                  </pic:spPr>
                </pic:pic>
              </a:graphicData>
            </a:graphic>
          </wp:inline>
        </w:drawing>
      </w:r>
    </w:p>
    <w:p>
      <w:pPr>
        <w:pStyle w:val="0"/>
        <w:spacing w:line="0" w:lineRule="atLeast"/>
        <w:ind w:firstLine="1350" w:firstLineChars="750"/>
        <w:rPr>
          <w:rFonts w:hint="default" w:ascii="ＭＳ ゴシック" w:hAnsi="ＭＳ ゴシック" w:eastAsia="ＭＳ ゴシック"/>
          <w:sz w:val="18"/>
        </w:rPr>
      </w:pPr>
      <w:r>
        <w:rPr>
          <w:rFonts w:hint="eastAsia" w:ascii="ＭＳ ゴシック" w:hAnsi="ＭＳ ゴシック" w:eastAsia="ＭＳ ゴシック"/>
          <w:sz w:val="18"/>
        </w:rPr>
        <w:t>※数値は、四捨五入しているため、合計値が一部合致しない場合があります。</w:t>
      </w:r>
    </w:p>
    <w:p>
      <w:pPr>
        <w:pStyle w:val="0"/>
        <w:spacing w:line="0" w:lineRule="atLeast"/>
        <w:ind w:firstLine="1530" w:firstLineChars="850"/>
        <w:rPr>
          <w:rFonts w:hint="default" w:asciiTheme="majorEastAsia" w:hAnsiTheme="majorEastAsia" w:eastAsiaTheme="majorEastAsia"/>
          <w:sz w:val="24"/>
        </w:rPr>
      </w:pPr>
      <w:r>
        <w:rPr>
          <w:rFonts w:hint="eastAsia" w:ascii="ＭＳ ゴシック" w:hAnsi="ＭＳ ゴシック" w:eastAsia="ＭＳ ゴシック"/>
          <w:sz w:val="18"/>
        </w:rPr>
        <w:t>全体財務書類の他会計への繰出支出は内部取引のため相殺消去処理しています。</w:t>
      </w:r>
      <w:r>
        <w:rPr>
          <w:rFonts w:hint="default" w:asciiTheme="majorEastAsia" w:hAnsiTheme="majorEastAsia" w:eastAsiaTheme="majorEastAsia"/>
          <w:sz w:val="24"/>
        </w:rPr>
        <w:br w:type="page"/>
      </w:r>
    </w:p>
    <w:p>
      <w:pPr>
        <w:pStyle w:val="0"/>
        <w:rPr>
          <w:rFonts w:hint="default" w:ascii="メイリオ" w:hAnsi="メイリオ" w:eastAsia="メイリオ"/>
          <w:b w:val="1"/>
          <w:color w:val="0070C0"/>
          <w:kern w:val="0"/>
          <w:sz w:val="32"/>
        </w:rPr>
      </w:pPr>
      <w:r>
        <w:rPr>
          <w:rFonts w:hint="eastAsia" w:ascii="メイリオ" w:hAnsi="メイリオ" w:eastAsia="メイリオ"/>
          <w:b w:val="1"/>
          <w:color w:val="0070C0"/>
          <w:kern w:val="0"/>
          <w:sz w:val="32"/>
        </w:rPr>
        <w:t>３．令和元年度　占冠村　財務分析（一般会計等）</w:t>
      </w:r>
    </w:p>
    <w:p>
      <w:pPr>
        <w:pStyle w:val="0"/>
        <w:ind w:firstLine="240" w:firstLineChars="100"/>
        <w:rPr>
          <w:rFonts w:hint="default" w:asciiTheme="minorEastAsia" w:hAnsiTheme="minorEastAsia"/>
          <w:sz w:val="24"/>
        </w:rPr>
      </w:pPr>
      <w:r>
        <w:rPr>
          <w:rFonts w:hint="eastAsia" w:asciiTheme="minorEastAsia" w:hAnsiTheme="minorEastAsia"/>
          <w:sz w:val="24"/>
        </w:rPr>
        <w:t>これまでは、占冠村の財務書類を実数で検証してきましたが、これだけでは占冠村における健全性や効率性を推し量ることはできません。</w:t>
      </w:r>
    </w:p>
    <w:p>
      <w:pPr>
        <w:pStyle w:val="0"/>
        <w:ind w:firstLine="240" w:firstLineChars="100"/>
        <w:rPr>
          <w:rFonts w:hint="default" w:asciiTheme="minorEastAsia" w:hAnsiTheme="minorEastAsia"/>
          <w:sz w:val="24"/>
        </w:rPr>
      </w:pPr>
      <w:r>
        <w:rPr>
          <w:rFonts w:hint="eastAsia" w:asciiTheme="minorEastAsia" w:hAnsiTheme="minorEastAsia"/>
          <w:sz w:val="24"/>
        </w:rPr>
        <w:t>そこで、財務書類や各種資料からの数値を指標に置き換えて分析いたします。これにより、占冠村と北海道内自治体</w:t>
      </w:r>
      <w:r>
        <w:rPr>
          <w:rFonts w:hint="default" w:ascii="ＭＳ 明朝" w:hAnsi="ＭＳ 明朝" w:eastAsia="ＭＳ 明朝"/>
          <w:sz w:val="24"/>
        </w:rPr>
        <w:t>人口</w:t>
      </w:r>
      <w:r>
        <w:rPr>
          <w:rFonts w:hint="eastAsia" w:ascii="ＭＳ 明朝" w:hAnsi="ＭＳ 明朝" w:eastAsia="ＭＳ 明朝"/>
          <w:sz w:val="24"/>
        </w:rPr>
        <w:t>5</w:t>
      </w:r>
      <w:r>
        <w:rPr>
          <w:rFonts w:hint="eastAsia" w:ascii="ＭＳ 明朝" w:hAnsi="ＭＳ 明朝" w:eastAsia="ＭＳ 明朝"/>
          <w:sz w:val="24"/>
        </w:rPr>
        <w:t>千</w:t>
      </w:r>
      <w:r>
        <w:rPr>
          <w:rFonts w:hint="default" w:ascii="ＭＳ 明朝" w:hAnsi="ＭＳ 明朝" w:eastAsia="ＭＳ 明朝"/>
          <w:sz w:val="24"/>
        </w:rPr>
        <w:t>人</w:t>
      </w:r>
      <w:r>
        <w:rPr>
          <w:rFonts w:hint="eastAsia" w:ascii="ＭＳ 明朝" w:hAnsi="ＭＳ 明朝" w:eastAsia="ＭＳ 明朝"/>
          <w:sz w:val="24"/>
        </w:rPr>
        <w:t>未満</w:t>
      </w:r>
      <w:r>
        <w:rPr>
          <w:rFonts w:hint="default" w:ascii="ＭＳ 明朝" w:hAnsi="ＭＳ 明朝" w:eastAsia="ＭＳ 明朝"/>
          <w:sz w:val="24"/>
        </w:rPr>
        <w:t>の自治体平均</w:t>
      </w:r>
      <w:r>
        <w:rPr>
          <w:rFonts w:hint="eastAsia" w:asciiTheme="minorEastAsia" w:hAnsiTheme="minorEastAsia"/>
          <w:sz w:val="24"/>
        </w:rPr>
        <w:t>と比較し、優れている項目や改善が必要な項目を把握することができるようになります。ここでは一般会計等に焦点を当て、主要な指標分析をしていきます。</w:t>
      </w:r>
    </w:p>
    <w:p>
      <w:pPr>
        <w:pStyle w:val="0"/>
        <w:autoSpaceDE w:val="0"/>
        <w:autoSpaceDN w:val="0"/>
        <w:adjustRightInd w:val="0"/>
        <w:jc w:val="left"/>
        <w:rPr>
          <w:rFonts w:hint="default"/>
        </w:rPr>
      </w:pPr>
    </w:p>
    <w:tbl>
      <w:tblPr>
        <w:tblStyle w:val="31"/>
        <w:tblW w:w="9776" w:type="dxa"/>
        <w:tblInd w:w="0" w:type="dxa"/>
        <w:tblLayout w:type="fixed"/>
        <w:tblLook w:firstRow="1" w:lastRow="0" w:firstColumn="1" w:lastColumn="0" w:noHBand="0" w:noVBand="1" w:val="04A0"/>
      </w:tblPr>
      <w:tblGrid>
        <w:gridCol w:w="9776"/>
      </w:tblGrid>
      <w:tr>
        <w:trPr/>
        <w:tc>
          <w:tcPr>
            <w:tcW w:w="9776" w:type="dxa"/>
            <w:shd w:val="solid" w:themeColor="accent6" w:themeTint="33" w:themeShade="FF" w:fill="auto"/>
            <w:vAlign w:val="center"/>
          </w:tcPr>
          <w:p>
            <w:pPr>
              <w:pStyle w:val="0"/>
              <w:autoSpaceDE w:val="0"/>
              <w:autoSpaceDN w:val="0"/>
              <w:adjustRightInd w:val="0"/>
              <w:spacing w:line="440" w:lineRule="exact"/>
              <w:jc w:val="center"/>
              <w:rPr>
                <w:rFonts w:hint="default" w:ascii="メイリオ" w:hAnsi="メイリオ" w:eastAsia="メイリオ"/>
                <w:sz w:val="24"/>
              </w:rPr>
            </w:pPr>
            <w:r>
              <w:rPr>
                <w:rFonts w:hint="eastAsia" w:ascii="メイリオ" w:hAnsi="メイリオ" w:eastAsia="メイリオ"/>
                <w:sz w:val="24"/>
              </w:rPr>
              <w:t>経営指標</w:t>
            </w:r>
          </w:p>
        </w:tc>
      </w:tr>
      <w:tr>
        <w:trPr>
          <w:trHeight w:val="3308" w:hRule="atLeast"/>
        </w:trPr>
        <w:tc>
          <w:tcPr>
            <w:tcW w:w="9776" w:type="dxa"/>
            <w:vAlign w:val="center"/>
          </w:tcPr>
          <w:p>
            <w:pPr>
              <w:pStyle w:val="0"/>
              <w:autoSpaceDE w:val="0"/>
              <w:autoSpaceDN w:val="0"/>
              <w:adjustRightInd w:val="0"/>
              <w:spacing w:line="440" w:lineRule="exact"/>
              <w:rPr>
                <w:rFonts w:hint="default" w:ascii="メイリオ" w:hAnsi="メイリオ" w:eastAsia="メイリオ"/>
                <w:sz w:val="24"/>
              </w:rPr>
            </w:pPr>
            <w:r>
              <w:rPr>
                <w:rFonts w:hint="eastAsia" w:ascii="メイリオ" w:hAnsi="メイリオ" w:eastAsia="メイリオ"/>
                <w:sz w:val="24"/>
              </w:rPr>
              <w:t xml:space="preserve">(1) </w:t>
            </w:r>
            <w:r>
              <w:rPr>
                <w:rFonts w:hint="eastAsia" w:ascii="メイリオ" w:hAnsi="メイリオ" w:eastAsia="メイリオ"/>
                <w:sz w:val="24"/>
              </w:rPr>
              <w:t>純資産比率</w:t>
            </w:r>
          </w:p>
          <w:p>
            <w:pPr>
              <w:pStyle w:val="0"/>
              <w:autoSpaceDE w:val="0"/>
              <w:autoSpaceDN w:val="0"/>
              <w:adjustRightInd w:val="0"/>
              <w:spacing w:line="440" w:lineRule="exact"/>
              <w:rPr>
                <w:rFonts w:hint="default" w:ascii="メイリオ" w:hAnsi="メイリオ" w:eastAsia="メイリオ"/>
                <w:sz w:val="24"/>
              </w:rPr>
            </w:pPr>
            <w:r>
              <w:rPr>
                <w:rFonts w:hint="eastAsia" w:ascii="メイリオ" w:hAnsi="メイリオ" w:eastAsia="メイリオ"/>
                <w:sz w:val="24"/>
              </w:rPr>
              <w:t xml:space="preserve">(2) </w:t>
            </w:r>
            <w:r>
              <w:rPr>
                <w:rFonts w:hint="eastAsia" w:ascii="メイリオ" w:hAnsi="メイリオ" w:eastAsia="メイリオ"/>
                <w:sz w:val="24"/>
              </w:rPr>
              <w:t>住民一人当たりの資産額</w:t>
            </w:r>
          </w:p>
          <w:p>
            <w:pPr>
              <w:pStyle w:val="0"/>
              <w:autoSpaceDE w:val="0"/>
              <w:autoSpaceDN w:val="0"/>
              <w:adjustRightInd w:val="0"/>
              <w:spacing w:line="440" w:lineRule="exact"/>
              <w:rPr>
                <w:rFonts w:hint="default" w:ascii="メイリオ" w:hAnsi="メイリオ" w:eastAsia="メイリオ"/>
                <w:sz w:val="24"/>
              </w:rPr>
            </w:pPr>
            <w:r>
              <w:rPr>
                <w:rFonts w:hint="eastAsia" w:ascii="メイリオ" w:hAnsi="メイリオ" w:eastAsia="メイリオ"/>
                <w:sz w:val="24"/>
              </w:rPr>
              <w:t>(3)</w:t>
            </w:r>
            <w:r>
              <w:rPr>
                <w:rFonts w:hint="default" w:ascii="メイリオ" w:hAnsi="メイリオ" w:eastAsia="メイリオ"/>
                <w:sz w:val="24"/>
              </w:rPr>
              <w:t xml:space="preserve"> </w:t>
            </w:r>
            <w:r>
              <w:rPr>
                <w:rFonts w:hint="eastAsia" w:ascii="メイリオ" w:hAnsi="メイリオ" w:eastAsia="メイリオ"/>
                <w:sz w:val="24"/>
              </w:rPr>
              <w:t>住民一人当たりの負債額</w:t>
            </w:r>
          </w:p>
          <w:p>
            <w:pPr>
              <w:pStyle w:val="0"/>
              <w:autoSpaceDE w:val="0"/>
              <w:autoSpaceDN w:val="0"/>
              <w:adjustRightInd w:val="0"/>
              <w:spacing w:line="440" w:lineRule="exact"/>
              <w:rPr>
                <w:rFonts w:hint="default" w:ascii="メイリオ" w:hAnsi="メイリオ" w:eastAsia="メイリオ"/>
                <w:sz w:val="24"/>
              </w:rPr>
            </w:pPr>
            <w:r>
              <w:rPr>
                <w:rFonts w:hint="eastAsia" w:ascii="メイリオ" w:hAnsi="メイリオ" w:eastAsia="メイリオ"/>
                <w:sz w:val="24"/>
              </w:rPr>
              <w:t>(4)</w:t>
            </w:r>
            <w:r>
              <w:rPr>
                <w:rFonts w:hint="default" w:ascii="メイリオ" w:hAnsi="メイリオ" w:eastAsia="メイリオ"/>
                <w:sz w:val="24"/>
              </w:rPr>
              <w:t xml:space="preserve"> </w:t>
            </w:r>
            <w:r>
              <w:rPr>
                <w:rFonts w:hint="eastAsia" w:ascii="メイリオ" w:hAnsi="メイリオ" w:eastAsia="メイリオ"/>
                <w:sz w:val="24"/>
              </w:rPr>
              <w:t>資産老朽化比率</w:t>
            </w:r>
          </w:p>
          <w:p>
            <w:pPr>
              <w:pStyle w:val="0"/>
              <w:autoSpaceDE w:val="0"/>
              <w:autoSpaceDN w:val="0"/>
              <w:adjustRightInd w:val="0"/>
              <w:spacing w:line="440" w:lineRule="exact"/>
              <w:rPr>
                <w:rFonts w:hint="default" w:ascii="メイリオ" w:hAnsi="メイリオ" w:eastAsia="メイリオ"/>
                <w:sz w:val="24"/>
              </w:rPr>
            </w:pPr>
            <w:r>
              <w:rPr>
                <w:rFonts w:hint="eastAsia" w:ascii="メイリオ" w:hAnsi="メイリオ" w:eastAsia="メイリオ"/>
                <w:sz w:val="24"/>
              </w:rPr>
              <w:t>(5)</w:t>
            </w:r>
            <w:r>
              <w:rPr>
                <w:rFonts w:hint="default" w:ascii="メイリオ" w:hAnsi="メイリオ" w:eastAsia="メイリオ"/>
                <w:sz w:val="24"/>
              </w:rPr>
              <w:t xml:space="preserve"> </w:t>
            </w:r>
            <w:r>
              <w:rPr>
                <w:rFonts w:hint="eastAsia" w:ascii="メイリオ" w:hAnsi="メイリオ" w:eastAsia="メイリオ"/>
                <w:sz w:val="24"/>
              </w:rPr>
              <w:t>住民一人当たりの行政コスト</w:t>
            </w:r>
          </w:p>
          <w:p>
            <w:pPr>
              <w:pStyle w:val="0"/>
              <w:autoSpaceDE w:val="0"/>
              <w:autoSpaceDN w:val="0"/>
              <w:adjustRightInd w:val="0"/>
              <w:spacing w:line="440" w:lineRule="exact"/>
              <w:rPr>
                <w:rFonts w:hint="default" w:ascii="メイリオ" w:hAnsi="メイリオ" w:eastAsia="メイリオ"/>
                <w:sz w:val="24"/>
              </w:rPr>
            </w:pPr>
            <w:r>
              <w:rPr>
                <w:rFonts w:hint="eastAsia" w:ascii="メイリオ" w:hAnsi="メイリオ" w:eastAsia="メイリオ"/>
                <w:sz w:val="24"/>
              </w:rPr>
              <w:t>(</w:t>
            </w:r>
            <w:r>
              <w:rPr>
                <w:rFonts w:hint="default" w:ascii="メイリオ" w:hAnsi="メイリオ" w:eastAsia="メイリオ"/>
                <w:sz w:val="24"/>
              </w:rPr>
              <w:t xml:space="preserve">6) </w:t>
            </w:r>
            <w:r>
              <w:rPr>
                <w:rFonts w:hint="eastAsia" w:ascii="メイリオ" w:hAnsi="メイリオ" w:eastAsia="メイリオ"/>
                <w:sz w:val="24"/>
              </w:rPr>
              <w:t>受益者負担割合</w:t>
            </w:r>
          </w:p>
        </w:tc>
      </w:tr>
    </w:tbl>
    <w:p>
      <w:pPr>
        <w:pStyle w:val="0"/>
        <w:autoSpaceDE w:val="0"/>
        <w:autoSpaceDN w:val="0"/>
        <w:adjustRightInd w:val="0"/>
        <w:jc w:val="left"/>
        <w:rPr>
          <w:rFonts w:hint="default"/>
        </w:rPr>
      </w:pPr>
    </w:p>
    <w:p>
      <w:pPr>
        <w:pStyle w:val="0"/>
        <w:autoSpaceDE w:val="0"/>
        <w:autoSpaceDN w:val="0"/>
        <w:adjustRightInd w:val="0"/>
        <w:jc w:val="left"/>
        <w:rPr>
          <w:rFonts w:hint="default"/>
        </w:rPr>
      </w:pPr>
      <w:r>
        <w:rPr>
          <w:rFonts w:hint="eastAsia" w:ascii="メイリオ" w:hAnsi="メイリオ" w:eastAsia="メイリオ"/>
        </w:rPr>
        <mc:AlternateContent>
          <mc:Choice Requires="wps">
            <w:drawing>
              <wp:anchor distT="0" distB="0" distL="114300" distR="114300" simplePos="0" relativeHeight="24" behindDoc="0" locked="0" layoutInCell="1" hidden="0" allowOverlap="1">
                <wp:simplePos x="0" y="0"/>
                <wp:positionH relativeFrom="margin">
                  <wp:posOffset>-22860</wp:posOffset>
                </wp:positionH>
                <wp:positionV relativeFrom="paragraph">
                  <wp:posOffset>36195</wp:posOffset>
                </wp:positionV>
                <wp:extent cx="6271260" cy="1851660"/>
                <wp:effectExtent l="635" t="635" r="29845" b="10795"/>
                <wp:wrapNone/>
                <wp:docPr id="1078" name="四角形: 角を丸くする 487"/>
                <a:graphic xmlns:a="http://schemas.openxmlformats.org/drawingml/2006/main">
                  <a:graphicData uri="http://schemas.microsoft.com/office/word/2010/wordprocessingShape">
                    <wps:wsp>
                      <wps:cNvPr id="1078" name="四角形: 角を丸くする 487"/>
                      <wps:cNvSpPr/>
                      <wps:spPr>
                        <a:xfrm>
                          <a:off x="0" y="0"/>
                          <a:ext cx="6271260" cy="1851660"/>
                        </a:xfrm>
                        <a:prstGeom prst="roundRect">
                          <a:avLst>
                            <a:gd name="adj" fmla="val 5556"/>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440" w:lineRule="exact"/>
                              <w:jc w:val="left"/>
                              <w:rPr>
                                <w:rFonts w:hint="default" w:ascii="メイリオ" w:hAnsi="メイリオ" w:eastAsia="メイリオ"/>
                                <w:b w:val="1"/>
                                <w:color w:val="000000" w:themeColor="text1"/>
                                <w:sz w:val="24"/>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純資産比率は</w:t>
                            </w:r>
                            <w:r>
                              <w:rPr>
                                <w:rFonts w:hint="default" w:ascii="メイリオ" w:hAnsi="メイリオ" w:eastAsia="メイリオ"/>
                                <w:b w:val="1"/>
                                <w:color w:val="000000" w:themeColor="text1"/>
                                <w:sz w:val="24"/>
                              </w:rPr>
                              <w:t>80.5%</w:t>
                            </w:r>
                            <w:r>
                              <w:rPr>
                                <w:rFonts w:hint="eastAsia" w:ascii="メイリオ" w:hAnsi="メイリオ" w:eastAsia="メイリオ"/>
                                <w:b w:val="1"/>
                                <w:color w:val="000000" w:themeColor="text1"/>
                                <w:sz w:val="24"/>
                              </w:rPr>
                              <w:t>で平均値の</w:t>
                            </w:r>
                            <w:r>
                              <w:rPr>
                                <w:rFonts w:hint="eastAsia" w:ascii="メイリオ" w:hAnsi="メイリオ" w:eastAsia="メイリオ"/>
                                <w:b w:val="1"/>
                                <w:color w:val="000000" w:themeColor="text1"/>
                                <w:sz w:val="24"/>
                              </w:rPr>
                              <w:t>78.1</w:t>
                            </w:r>
                            <w:r>
                              <w:rPr>
                                <w:rFonts w:hint="default" w:ascii="メイリオ" w:hAnsi="メイリオ" w:eastAsia="メイリオ"/>
                                <w:b w:val="1"/>
                                <w:color w:val="000000" w:themeColor="text1"/>
                                <w:sz w:val="24"/>
                              </w:rPr>
                              <w:t>%</w:t>
                            </w:r>
                            <w:r>
                              <w:rPr>
                                <w:rFonts w:hint="eastAsia" w:ascii="メイリオ" w:hAnsi="メイリオ" w:eastAsia="メイリオ"/>
                                <w:b w:val="1"/>
                                <w:color w:val="000000" w:themeColor="text1"/>
                                <w:sz w:val="24"/>
                              </w:rPr>
                              <w:t>の</w:t>
                            </w:r>
                            <w:r>
                              <w:rPr>
                                <w:rFonts w:hint="default" w:ascii="メイリオ" w:hAnsi="メイリオ" w:eastAsia="メイリオ"/>
                                <w:b w:val="1"/>
                                <w:color w:val="000000" w:themeColor="text1"/>
                                <w:sz w:val="24"/>
                              </w:rPr>
                              <w:t>103.0</w:t>
                            </w:r>
                            <w:r>
                              <w:rPr>
                                <w:rFonts w:hint="eastAsia" w:ascii="メイリオ" w:hAnsi="メイリオ" w:eastAsia="メイリオ"/>
                                <w:b w:val="1"/>
                                <w:color w:val="000000" w:themeColor="text1"/>
                                <w:sz w:val="24"/>
                              </w:rPr>
                              <w:t>％</w:t>
                            </w:r>
                          </w:p>
                          <w:p>
                            <w:pPr>
                              <w:pStyle w:val="0"/>
                              <w:spacing w:line="440" w:lineRule="exact"/>
                              <w:jc w:val="left"/>
                              <w:rPr>
                                <w:rFonts w:hint="default" w:ascii="メイリオ" w:hAnsi="メイリオ" w:eastAsia="メイリオ"/>
                                <w:b w:val="1"/>
                                <w:color w:val="000000" w:themeColor="text1"/>
                                <w:sz w:val="24"/>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住民一人当たりの資産額は</w:t>
                            </w:r>
                            <w:r>
                              <w:rPr>
                                <w:rFonts w:hint="default" w:ascii="メイリオ" w:hAnsi="メイリオ" w:eastAsia="メイリオ"/>
                                <w:b w:val="1"/>
                                <w:color w:val="000000" w:themeColor="text1"/>
                                <w:sz w:val="24"/>
                              </w:rPr>
                              <w:t>975</w:t>
                            </w:r>
                            <w:r>
                              <w:rPr>
                                <w:rFonts w:hint="eastAsia" w:ascii="メイリオ" w:hAnsi="メイリオ" w:eastAsia="メイリオ"/>
                                <w:b w:val="1"/>
                                <w:color w:val="000000" w:themeColor="text1"/>
                                <w:sz w:val="24"/>
                              </w:rPr>
                              <w:t>万円で平均値の</w:t>
                            </w:r>
                            <w:r>
                              <w:rPr>
                                <w:rFonts w:hint="default" w:ascii="メイリオ" w:hAnsi="メイリオ" w:eastAsia="メイリオ"/>
                                <w:b w:val="1"/>
                                <w:color w:val="000000" w:themeColor="text1"/>
                                <w:sz w:val="24"/>
                              </w:rPr>
                              <w:t>917</w:t>
                            </w:r>
                            <w:r>
                              <w:rPr>
                                <w:rFonts w:hint="eastAsia" w:ascii="メイリオ" w:hAnsi="メイリオ" w:eastAsia="メイリオ"/>
                                <w:b w:val="1"/>
                                <w:color w:val="000000" w:themeColor="text1"/>
                                <w:sz w:val="24"/>
                              </w:rPr>
                              <w:t>万円の</w:t>
                            </w:r>
                            <w:r>
                              <w:rPr>
                                <w:rFonts w:hint="default" w:ascii="メイリオ" w:hAnsi="メイリオ" w:eastAsia="メイリオ"/>
                                <w:b w:val="1"/>
                                <w:color w:val="000000" w:themeColor="text1"/>
                                <w:sz w:val="24"/>
                              </w:rPr>
                              <w:t>106.3</w:t>
                            </w:r>
                            <w:r>
                              <w:rPr>
                                <w:rFonts w:hint="eastAsia" w:ascii="メイリオ" w:hAnsi="メイリオ" w:eastAsia="メイリオ"/>
                                <w:b w:val="1"/>
                                <w:color w:val="000000" w:themeColor="text1"/>
                                <w:sz w:val="24"/>
                              </w:rPr>
                              <w:t>％</w:t>
                            </w:r>
                          </w:p>
                          <w:p>
                            <w:pPr>
                              <w:pStyle w:val="0"/>
                              <w:spacing w:line="440" w:lineRule="exact"/>
                              <w:jc w:val="left"/>
                              <w:rPr>
                                <w:rFonts w:hint="default" w:ascii="メイリオ" w:hAnsi="メイリオ" w:eastAsia="メイリオ"/>
                                <w:b w:val="1"/>
                                <w:color w:val="000000" w:themeColor="text1"/>
                                <w:sz w:val="24"/>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住民一人当たりの負債額は</w:t>
                            </w:r>
                            <w:r>
                              <w:rPr>
                                <w:rFonts w:hint="default" w:ascii="メイリオ" w:hAnsi="メイリオ" w:eastAsia="メイリオ"/>
                                <w:b w:val="1"/>
                                <w:color w:val="000000" w:themeColor="text1"/>
                                <w:sz w:val="24"/>
                              </w:rPr>
                              <w:t>191</w:t>
                            </w:r>
                            <w:r>
                              <w:rPr>
                                <w:rFonts w:hint="eastAsia" w:ascii="メイリオ" w:hAnsi="メイリオ" w:eastAsia="メイリオ"/>
                                <w:b w:val="1"/>
                                <w:color w:val="000000" w:themeColor="text1"/>
                                <w:sz w:val="24"/>
                              </w:rPr>
                              <w:t>万円で平均値の</w:t>
                            </w:r>
                            <w:r>
                              <w:rPr>
                                <w:rFonts w:hint="default" w:ascii="メイリオ" w:hAnsi="メイリオ" w:eastAsia="メイリオ"/>
                                <w:b w:val="1"/>
                                <w:color w:val="000000" w:themeColor="text1"/>
                                <w:sz w:val="24"/>
                              </w:rPr>
                              <w:t>206</w:t>
                            </w:r>
                            <w:r>
                              <w:rPr>
                                <w:rFonts w:hint="eastAsia" w:ascii="メイリオ" w:hAnsi="メイリオ" w:eastAsia="メイリオ"/>
                                <w:b w:val="1"/>
                                <w:color w:val="000000" w:themeColor="text1"/>
                                <w:sz w:val="24"/>
                              </w:rPr>
                              <w:t>万円の</w:t>
                            </w:r>
                            <w:r>
                              <w:rPr>
                                <w:rFonts w:hint="default" w:ascii="メイリオ" w:hAnsi="メイリオ" w:eastAsia="メイリオ"/>
                                <w:b w:val="1"/>
                                <w:color w:val="000000" w:themeColor="text1"/>
                                <w:sz w:val="24"/>
                              </w:rPr>
                              <w:t>92.8</w:t>
                            </w:r>
                            <w:r>
                              <w:rPr>
                                <w:rFonts w:hint="eastAsia" w:ascii="メイリオ" w:hAnsi="メイリオ" w:eastAsia="メイリオ"/>
                                <w:b w:val="1"/>
                                <w:color w:val="000000" w:themeColor="text1"/>
                                <w:sz w:val="24"/>
                              </w:rPr>
                              <w:t>％</w:t>
                            </w:r>
                          </w:p>
                          <w:p>
                            <w:pPr>
                              <w:pStyle w:val="0"/>
                              <w:spacing w:line="440" w:lineRule="exact"/>
                              <w:jc w:val="left"/>
                              <w:rPr>
                                <w:rFonts w:hint="default" w:ascii="メイリオ" w:hAnsi="メイリオ" w:eastAsia="メイリオ"/>
                                <w:b w:val="1"/>
                                <w:color w:val="000000" w:themeColor="text1"/>
                                <w:sz w:val="24"/>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資産老朽化率は</w:t>
                            </w:r>
                            <w:r>
                              <w:rPr>
                                <w:rFonts w:hint="default" w:ascii="メイリオ" w:hAnsi="メイリオ" w:eastAsia="メイリオ"/>
                                <w:b w:val="1"/>
                                <w:color w:val="000000" w:themeColor="text1"/>
                                <w:sz w:val="24"/>
                              </w:rPr>
                              <w:t>67.7%</w:t>
                            </w:r>
                            <w:r>
                              <w:rPr>
                                <w:rFonts w:hint="eastAsia" w:ascii="メイリオ" w:hAnsi="メイリオ" w:eastAsia="メイリオ"/>
                                <w:b w:val="1"/>
                                <w:color w:val="000000" w:themeColor="text1"/>
                                <w:sz w:val="24"/>
                              </w:rPr>
                              <w:t>で平均値の</w:t>
                            </w:r>
                            <w:r>
                              <w:rPr>
                                <w:rFonts w:hint="default" w:ascii="メイリオ" w:hAnsi="メイリオ" w:eastAsia="メイリオ"/>
                                <w:b w:val="1"/>
                                <w:color w:val="000000" w:themeColor="text1"/>
                                <w:sz w:val="24"/>
                              </w:rPr>
                              <w:t>62.6%</w:t>
                            </w:r>
                            <w:r>
                              <w:rPr>
                                <w:rFonts w:hint="eastAsia" w:ascii="メイリオ" w:hAnsi="メイリオ" w:eastAsia="メイリオ"/>
                                <w:b w:val="1"/>
                                <w:color w:val="000000" w:themeColor="text1"/>
                                <w:sz w:val="24"/>
                              </w:rPr>
                              <w:t>の</w:t>
                            </w:r>
                            <w:r>
                              <w:rPr>
                                <w:rFonts w:hint="default" w:ascii="メイリオ" w:hAnsi="メイリオ" w:eastAsia="メイリオ"/>
                                <w:b w:val="1"/>
                                <w:color w:val="000000" w:themeColor="text1"/>
                                <w:sz w:val="24"/>
                              </w:rPr>
                              <w:t>108.2</w:t>
                            </w:r>
                            <w:r>
                              <w:rPr>
                                <w:rFonts w:hint="eastAsia" w:ascii="メイリオ" w:hAnsi="メイリオ" w:eastAsia="メイリオ"/>
                                <w:b w:val="1"/>
                                <w:color w:val="000000" w:themeColor="text1"/>
                                <w:sz w:val="24"/>
                              </w:rPr>
                              <w:t>％</w:t>
                            </w:r>
                          </w:p>
                          <w:p>
                            <w:pPr>
                              <w:pStyle w:val="0"/>
                              <w:spacing w:line="440" w:lineRule="exact"/>
                              <w:jc w:val="left"/>
                              <w:rPr>
                                <w:rFonts w:hint="default" w:ascii="メイリオ" w:hAnsi="メイリオ" w:eastAsia="メイリオ"/>
                                <w:b w:val="1"/>
                                <w:color w:val="000000" w:themeColor="text1"/>
                                <w:sz w:val="24"/>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住民一人当たりの行政コストは</w:t>
                            </w:r>
                            <w:r>
                              <w:rPr>
                                <w:rFonts w:hint="default" w:ascii="メイリオ" w:hAnsi="メイリオ" w:eastAsia="メイリオ"/>
                                <w:b w:val="1"/>
                                <w:color w:val="000000" w:themeColor="text1"/>
                                <w:sz w:val="24"/>
                              </w:rPr>
                              <w:t>185</w:t>
                            </w:r>
                            <w:r>
                              <w:rPr>
                                <w:rFonts w:hint="eastAsia" w:ascii="メイリオ" w:hAnsi="メイリオ" w:eastAsia="メイリオ"/>
                                <w:b w:val="1"/>
                                <w:color w:val="000000" w:themeColor="text1"/>
                                <w:sz w:val="24"/>
                              </w:rPr>
                              <w:t>万円で平均値</w:t>
                            </w:r>
                            <w:r>
                              <w:rPr>
                                <w:rFonts w:hint="default" w:ascii="メイリオ" w:hAnsi="メイリオ" w:eastAsia="メイリオ"/>
                                <w:b w:val="1"/>
                                <w:color w:val="000000" w:themeColor="text1"/>
                                <w:sz w:val="24"/>
                              </w:rPr>
                              <w:t>144</w:t>
                            </w:r>
                            <w:r>
                              <w:rPr>
                                <w:rFonts w:hint="eastAsia" w:ascii="メイリオ" w:hAnsi="メイリオ" w:eastAsia="メイリオ"/>
                                <w:b w:val="1"/>
                                <w:color w:val="000000" w:themeColor="text1"/>
                                <w:sz w:val="24"/>
                              </w:rPr>
                              <w:t>万円の</w:t>
                            </w:r>
                            <w:r>
                              <w:rPr>
                                <w:rFonts w:hint="default" w:ascii="メイリオ" w:hAnsi="メイリオ" w:eastAsia="メイリオ"/>
                                <w:b w:val="1"/>
                                <w:color w:val="000000" w:themeColor="text1"/>
                                <w:sz w:val="24"/>
                              </w:rPr>
                              <w:t>128.2</w:t>
                            </w:r>
                            <w:r>
                              <w:rPr>
                                <w:rFonts w:hint="eastAsia" w:ascii="メイリオ" w:hAnsi="メイリオ" w:eastAsia="メイリオ"/>
                                <w:b w:val="1"/>
                                <w:color w:val="000000" w:themeColor="text1"/>
                                <w:sz w:val="24"/>
                              </w:rPr>
                              <w:t>％</w:t>
                            </w:r>
                          </w:p>
                          <w:p>
                            <w:pPr>
                              <w:pStyle w:val="0"/>
                              <w:spacing w:line="440" w:lineRule="exact"/>
                              <w:jc w:val="left"/>
                              <w:rPr>
                                <w:rFonts w:hint="default" w:ascii="メイリオ" w:hAnsi="メイリオ" w:eastAsia="メイリオ"/>
                                <w:color w:val="000000" w:themeColor="text1"/>
                                <w:sz w:val="22"/>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受益者負担割合は</w:t>
                            </w:r>
                            <w:r>
                              <w:rPr>
                                <w:rFonts w:hint="default" w:ascii="メイリオ" w:hAnsi="メイリオ" w:eastAsia="メイリオ"/>
                                <w:b w:val="1"/>
                                <w:color w:val="000000" w:themeColor="text1"/>
                                <w:sz w:val="24"/>
                              </w:rPr>
                              <w:t>4.0%</w:t>
                            </w:r>
                            <w:r>
                              <w:rPr>
                                <w:rFonts w:hint="eastAsia" w:ascii="メイリオ" w:hAnsi="メイリオ" w:eastAsia="メイリオ"/>
                                <w:b w:val="1"/>
                                <w:color w:val="000000" w:themeColor="text1"/>
                                <w:sz w:val="24"/>
                              </w:rPr>
                              <w:t>で平均値</w:t>
                            </w:r>
                            <w:r>
                              <w:rPr>
                                <w:rFonts w:hint="default" w:ascii="メイリオ" w:hAnsi="メイリオ" w:eastAsia="メイリオ"/>
                                <w:b w:val="1"/>
                                <w:color w:val="000000" w:themeColor="text1"/>
                                <w:sz w:val="24"/>
                              </w:rPr>
                              <w:t>7.4%</w:t>
                            </w:r>
                            <w:r>
                              <w:rPr>
                                <w:rFonts w:hint="eastAsia" w:ascii="メイリオ" w:hAnsi="メイリオ" w:eastAsia="メイリオ"/>
                                <w:b w:val="1"/>
                                <w:color w:val="000000" w:themeColor="text1"/>
                                <w:sz w:val="24"/>
                              </w:rPr>
                              <w:t>の</w:t>
                            </w:r>
                            <w:r>
                              <w:rPr>
                                <w:rFonts w:hint="default" w:ascii="メイリオ" w:hAnsi="メイリオ" w:eastAsia="メイリオ"/>
                                <w:b w:val="1"/>
                                <w:color w:val="000000" w:themeColor="text1"/>
                                <w:sz w:val="24"/>
                              </w:rPr>
                              <w:t>53.9</w:t>
                            </w:r>
                            <w:r>
                              <w:rPr>
                                <w:rFonts w:hint="eastAsia" w:ascii="メイリオ" w:hAnsi="メイリオ" w:eastAsia="メイリオ"/>
                                <w:b w:val="1"/>
                                <w:color w:val="000000" w:themeColor="text1"/>
                                <w:sz w:val="24"/>
                              </w:rPr>
                              <w:t>％</w:t>
                            </w:r>
                          </w:p>
                        </w:txbxContent>
                      </wps:txbx>
                      <wps:bodyPr rot="0" vertOverflow="overflow" horzOverflow="overflow" wrap="square" numCol="1" spcCol="0" rtlCol="0" fromWordArt="0" anchor="ctr" anchorCtr="0" forceAA="0" compatLnSpc="1">
                        <a:spAutoFit/>
                      </wps:bodyPr>
                    </wps:wsp>
                  </a:graphicData>
                </a:graphic>
              </wp:anchor>
            </w:drawing>
          </mc:Choice>
          <mc:Fallback>
            <w:pict>
              <v:roundrect id="四角形: 角を丸くする 487" style="mso-wrap-distance-right:9pt;mso-wrap-distance-bottom:0pt;margin-top:2.85pt;mso-position-vertical-relative:text;mso-position-horizontal-relative:margin;v-text-anchor:middle;position:absolute;height:145.80000000000001pt;mso-wrap-distance-top:0pt;width:493.8pt;mso-wrap-distance-left:9pt;margin-left:-1.8pt;z-index:24;" o:spid="_x0000_s1078" o:allowincell="t" o:allowoverlap="t" filled="t" fillcolor="#fff2cc [663]" stroked="t" strokecolor="#42709c" strokeweight="1pt" o:spt="2" arcsize="3641f">
                <v:fill/>
                <v:stroke linestyle="single" miterlimit="8" endcap="flat" dashstyle="solid" filltype="solid"/>
                <v:textbox style="layout-flow:horizontal;mso-fit-shape-to-text:t;" inset="2.5399999999999996mm,1.2699999999999998mm,2.5399999999999996mm,1.2699999999999998mm">
                  <w:txbxContent>
                    <w:p>
                      <w:pPr>
                        <w:pStyle w:val="0"/>
                        <w:spacing w:line="440" w:lineRule="exact"/>
                        <w:jc w:val="left"/>
                        <w:rPr>
                          <w:rFonts w:hint="default" w:ascii="メイリオ" w:hAnsi="メイリオ" w:eastAsia="メイリオ"/>
                          <w:b w:val="1"/>
                          <w:color w:val="000000" w:themeColor="text1"/>
                          <w:sz w:val="24"/>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純資産比率は</w:t>
                      </w:r>
                      <w:r>
                        <w:rPr>
                          <w:rFonts w:hint="default" w:ascii="メイリオ" w:hAnsi="メイリオ" w:eastAsia="メイリオ"/>
                          <w:b w:val="1"/>
                          <w:color w:val="000000" w:themeColor="text1"/>
                          <w:sz w:val="24"/>
                        </w:rPr>
                        <w:t>80.5%</w:t>
                      </w:r>
                      <w:r>
                        <w:rPr>
                          <w:rFonts w:hint="eastAsia" w:ascii="メイリオ" w:hAnsi="メイリオ" w:eastAsia="メイリオ"/>
                          <w:b w:val="1"/>
                          <w:color w:val="000000" w:themeColor="text1"/>
                          <w:sz w:val="24"/>
                        </w:rPr>
                        <w:t>で平均値の</w:t>
                      </w:r>
                      <w:r>
                        <w:rPr>
                          <w:rFonts w:hint="eastAsia" w:ascii="メイリオ" w:hAnsi="メイリオ" w:eastAsia="メイリオ"/>
                          <w:b w:val="1"/>
                          <w:color w:val="000000" w:themeColor="text1"/>
                          <w:sz w:val="24"/>
                        </w:rPr>
                        <w:t>78.1</w:t>
                      </w:r>
                      <w:r>
                        <w:rPr>
                          <w:rFonts w:hint="default" w:ascii="メイリオ" w:hAnsi="メイリオ" w:eastAsia="メイリオ"/>
                          <w:b w:val="1"/>
                          <w:color w:val="000000" w:themeColor="text1"/>
                          <w:sz w:val="24"/>
                        </w:rPr>
                        <w:t>%</w:t>
                      </w:r>
                      <w:r>
                        <w:rPr>
                          <w:rFonts w:hint="eastAsia" w:ascii="メイリオ" w:hAnsi="メイリオ" w:eastAsia="メイリオ"/>
                          <w:b w:val="1"/>
                          <w:color w:val="000000" w:themeColor="text1"/>
                          <w:sz w:val="24"/>
                        </w:rPr>
                        <w:t>の</w:t>
                      </w:r>
                      <w:r>
                        <w:rPr>
                          <w:rFonts w:hint="default" w:ascii="メイリオ" w:hAnsi="メイリオ" w:eastAsia="メイリオ"/>
                          <w:b w:val="1"/>
                          <w:color w:val="000000" w:themeColor="text1"/>
                          <w:sz w:val="24"/>
                        </w:rPr>
                        <w:t>103.0</w:t>
                      </w:r>
                      <w:r>
                        <w:rPr>
                          <w:rFonts w:hint="eastAsia" w:ascii="メイリオ" w:hAnsi="メイリオ" w:eastAsia="メイリオ"/>
                          <w:b w:val="1"/>
                          <w:color w:val="000000" w:themeColor="text1"/>
                          <w:sz w:val="24"/>
                        </w:rPr>
                        <w:t>％</w:t>
                      </w:r>
                    </w:p>
                    <w:p>
                      <w:pPr>
                        <w:pStyle w:val="0"/>
                        <w:spacing w:line="440" w:lineRule="exact"/>
                        <w:jc w:val="left"/>
                        <w:rPr>
                          <w:rFonts w:hint="default" w:ascii="メイリオ" w:hAnsi="メイリオ" w:eastAsia="メイリオ"/>
                          <w:b w:val="1"/>
                          <w:color w:val="000000" w:themeColor="text1"/>
                          <w:sz w:val="24"/>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住民一人当たりの資産額は</w:t>
                      </w:r>
                      <w:r>
                        <w:rPr>
                          <w:rFonts w:hint="default" w:ascii="メイリオ" w:hAnsi="メイリオ" w:eastAsia="メイリオ"/>
                          <w:b w:val="1"/>
                          <w:color w:val="000000" w:themeColor="text1"/>
                          <w:sz w:val="24"/>
                        </w:rPr>
                        <w:t>975</w:t>
                      </w:r>
                      <w:r>
                        <w:rPr>
                          <w:rFonts w:hint="eastAsia" w:ascii="メイリオ" w:hAnsi="メイリオ" w:eastAsia="メイリオ"/>
                          <w:b w:val="1"/>
                          <w:color w:val="000000" w:themeColor="text1"/>
                          <w:sz w:val="24"/>
                        </w:rPr>
                        <w:t>万円で平均値の</w:t>
                      </w:r>
                      <w:r>
                        <w:rPr>
                          <w:rFonts w:hint="default" w:ascii="メイリオ" w:hAnsi="メイリオ" w:eastAsia="メイリオ"/>
                          <w:b w:val="1"/>
                          <w:color w:val="000000" w:themeColor="text1"/>
                          <w:sz w:val="24"/>
                        </w:rPr>
                        <w:t>917</w:t>
                      </w:r>
                      <w:r>
                        <w:rPr>
                          <w:rFonts w:hint="eastAsia" w:ascii="メイリオ" w:hAnsi="メイリオ" w:eastAsia="メイリオ"/>
                          <w:b w:val="1"/>
                          <w:color w:val="000000" w:themeColor="text1"/>
                          <w:sz w:val="24"/>
                        </w:rPr>
                        <w:t>万円の</w:t>
                      </w:r>
                      <w:r>
                        <w:rPr>
                          <w:rFonts w:hint="default" w:ascii="メイリオ" w:hAnsi="メイリオ" w:eastAsia="メイリオ"/>
                          <w:b w:val="1"/>
                          <w:color w:val="000000" w:themeColor="text1"/>
                          <w:sz w:val="24"/>
                        </w:rPr>
                        <w:t>106.3</w:t>
                      </w:r>
                      <w:r>
                        <w:rPr>
                          <w:rFonts w:hint="eastAsia" w:ascii="メイリオ" w:hAnsi="メイリオ" w:eastAsia="メイリオ"/>
                          <w:b w:val="1"/>
                          <w:color w:val="000000" w:themeColor="text1"/>
                          <w:sz w:val="24"/>
                        </w:rPr>
                        <w:t>％</w:t>
                      </w:r>
                    </w:p>
                    <w:p>
                      <w:pPr>
                        <w:pStyle w:val="0"/>
                        <w:spacing w:line="440" w:lineRule="exact"/>
                        <w:jc w:val="left"/>
                        <w:rPr>
                          <w:rFonts w:hint="default" w:ascii="メイリオ" w:hAnsi="メイリオ" w:eastAsia="メイリオ"/>
                          <w:b w:val="1"/>
                          <w:color w:val="000000" w:themeColor="text1"/>
                          <w:sz w:val="24"/>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住民一人当たりの負債額は</w:t>
                      </w:r>
                      <w:r>
                        <w:rPr>
                          <w:rFonts w:hint="default" w:ascii="メイリオ" w:hAnsi="メイリオ" w:eastAsia="メイリオ"/>
                          <w:b w:val="1"/>
                          <w:color w:val="000000" w:themeColor="text1"/>
                          <w:sz w:val="24"/>
                        </w:rPr>
                        <w:t>191</w:t>
                      </w:r>
                      <w:r>
                        <w:rPr>
                          <w:rFonts w:hint="eastAsia" w:ascii="メイリオ" w:hAnsi="メイリオ" w:eastAsia="メイリオ"/>
                          <w:b w:val="1"/>
                          <w:color w:val="000000" w:themeColor="text1"/>
                          <w:sz w:val="24"/>
                        </w:rPr>
                        <w:t>万円で平均値の</w:t>
                      </w:r>
                      <w:r>
                        <w:rPr>
                          <w:rFonts w:hint="default" w:ascii="メイリオ" w:hAnsi="メイリオ" w:eastAsia="メイリオ"/>
                          <w:b w:val="1"/>
                          <w:color w:val="000000" w:themeColor="text1"/>
                          <w:sz w:val="24"/>
                        </w:rPr>
                        <w:t>206</w:t>
                      </w:r>
                      <w:r>
                        <w:rPr>
                          <w:rFonts w:hint="eastAsia" w:ascii="メイリオ" w:hAnsi="メイリオ" w:eastAsia="メイリオ"/>
                          <w:b w:val="1"/>
                          <w:color w:val="000000" w:themeColor="text1"/>
                          <w:sz w:val="24"/>
                        </w:rPr>
                        <w:t>万円の</w:t>
                      </w:r>
                      <w:r>
                        <w:rPr>
                          <w:rFonts w:hint="default" w:ascii="メイリオ" w:hAnsi="メイリオ" w:eastAsia="メイリオ"/>
                          <w:b w:val="1"/>
                          <w:color w:val="000000" w:themeColor="text1"/>
                          <w:sz w:val="24"/>
                        </w:rPr>
                        <w:t>92.8</w:t>
                      </w:r>
                      <w:r>
                        <w:rPr>
                          <w:rFonts w:hint="eastAsia" w:ascii="メイリオ" w:hAnsi="メイリオ" w:eastAsia="メイリオ"/>
                          <w:b w:val="1"/>
                          <w:color w:val="000000" w:themeColor="text1"/>
                          <w:sz w:val="24"/>
                        </w:rPr>
                        <w:t>％</w:t>
                      </w:r>
                    </w:p>
                    <w:p>
                      <w:pPr>
                        <w:pStyle w:val="0"/>
                        <w:spacing w:line="440" w:lineRule="exact"/>
                        <w:jc w:val="left"/>
                        <w:rPr>
                          <w:rFonts w:hint="default" w:ascii="メイリオ" w:hAnsi="メイリオ" w:eastAsia="メイリオ"/>
                          <w:b w:val="1"/>
                          <w:color w:val="000000" w:themeColor="text1"/>
                          <w:sz w:val="24"/>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資産老朽化率は</w:t>
                      </w:r>
                      <w:r>
                        <w:rPr>
                          <w:rFonts w:hint="default" w:ascii="メイリオ" w:hAnsi="メイリオ" w:eastAsia="メイリオ"/>
                          <w:b w:val="1"/>
                          <w:color w:val="000000" w:themeColor="text1"/>
                          <w:sz w:val="24"/>
                        </w:rPr>
                        <w:t>67.7%</w:t>
                      </w:r>
                      <w:r>
                        <w:rPr>
                          <w:rFonts w:hint="eastAsia" w:ascii="メイリオ" w:hAnsi="メイリオ" w:eastAsia="メイリオ"/>
                          <w:b w:val="1"/>
                          <w:color w:val="000000" w:themeColor="text1"/>
                          <w:sz w:val="24"/>
                        </w:rPr>
                        <w:t>で平均値の</w:t>
                      </w:r>
                      <w:r>
                        <w:rPr>
                          <w:rFonts w:hint="default" w:ascii="メイリオ" w:hAnsi="メイリオ" w:eastAsia="メイリオ"/>
                          <w:b w:val="1"/>
                          <w:color w:val="000000" w:themeColor="text1"/>
                          <w:sz w:val="24"/>
                        </w:rPr>
                        <w:t>62.6%</w:t>
                      </w:r>
                      <w:r>
                        <w:rPr>
                          <w:rFonts w:hint="eastAsia" w:ascii="メイリオ" w:hAnsi="メイリオ" w:eastAsia="メイリオ"/>
                          <w:b w:val="1"/>
                          <w:color w:val="000000" w:themeColor="text1"/>
                          <w:sz w:val="24"/>
                        </w:rPr>
                        <w:t>の</w:t>
                      </w:r>
                      <w:r>
                        <w:rPr>
                          <w:rFonts w:hint="default" w:ascii="メイリオ" w:hAnsi="メイリオ" w:eastAsia="メイリオ"/>
                          <w:b w:val="1"/>
                          <w:color w:val="000000" w:themeColor="text1"/>
                          <w:sz w:val="24"/>
                        </w:rPr>
                        <w:t>108.2</w:t>
                      </w:r>
                      <w:r>
                        <w:rPr>
                          <w:rFonts w:hint="eastAsia" w:ascii="メイリオ" w:hAnsi="メイリオ" w:eastAsia="メイリオ"/>
                          <w:b w:val="1"/>
                          <w:color w:val="000000" w:themeColor="text1"/>
                          <w:sz w:val="24"/>
                        </w:rPr>
                        <w:t>％</w:t>
                      </w:r>
                    </w:p>
                    <w:p>
                      <w:pPr>
                        <w:pStyle w:val="0"/>
                        <w:spacing w:line="440" w:lineRule="exact"/>
                        <w:jc w:val="left"/>
                        <w:rPr>
                          <w:rFonts w:hint="default" w:ascii="メイリオ" w:hAnsi="メイリオ" w:eastAsia="メイリオ"/>
                          <w:b w:val="1"/>
                          <w:color w:val="000000" w:themeColor="text1"/>
                          <w:sz w:val="24"/>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住民一人当たりの行政コストは</w:t>
                      </w:r>
                      <w:r>
                        <w:rPr>
                          <w:rFonts w:hint="default" w:ascii="メイリオ" w:hAnsi="メイリオ" w:eastAsia="メイリオ"/>
                          <w:b w:val="1"/>
                          <w:color w:val="000000" w:themeColor="text1"/>
                          <w:sz w:val="24"/>
                        </w:rPr>
                        <w:t>185</w:t>
                      </w:r>
                      <w:r>
                        <w:rPr>
                          <w:rFonts w:hint="eastAsia" w:ascii="メイリオ" w:hAnsi="メイリオ" w:eastAsia="メイリオ"/>
                          <w:b w:val="1"/>
                          <w:color w:val="000000" w:themeColor="text1"/>
                          <w:sz w:val="24"/>
                        </w:rPr>
                        <w:t>万円で平均値</w:t>
                      </w:r>
                      <w:r>
                        <w:rPr>
                          <w:rFonts w:hint="default" w:ascii="メイリオ" w:hAnsi="メイリオ" w:eastAsia="メイリオ"/>
                          <w:b w:val="1"/>
                          <w:color w:val="000000" w:themeColor="text1"/>
                          <w:sz w:val="24"/>
                        </w:rPr>
                        <w:t>144</w:t>
                      </w:r>
                      <w:r>
                        <w:rPr>
                          <w:rFonts w:hint="eastAsia" w:ascii="メイリオ" w:hAnsi="メイリオ" w:eastAsia="メイリオ"/>
                          <w:b w:val="1"/>
                          <w:color w:val="000000" w:themeColor="text1"/>
                          <w:sz w:val="24"/>
                        </w:rPr>
                        <w:t>万円の</w:t>
                      </w:r>
                      <w:r>
                        <w:rPr>
                          <w:rFonts w:hint="default" w:ascii="メイリオ" w:hAnsi="メイリオ" w:eastAsia="メイリオ"/>
                          <w:b w:val="1"/>
                          <w:color w:val="000000" w:themeColor="text1"/>
                          <w:sz w:val="24"/>
                        </w:rPr>
                        <w:t>128.2</w:t>
                      </w:r>
                      <w:r>
                        <w:rPr>
                          <w:rFonts w:hint="eastAsia" w:ascii="メイリオ" w:hAnsi="メイリオ" w:eastAsia="メイリオ"/>
                          <w:b w:val="1"/>
                          <w:color w:val="000000" w:themeColor="text1"/>
                          <w:sz w:val="24"/>
                        </w:rPr>
                        <w:t>％</w:t>
                      </w:r>
                    </w:p>
                    <w:p>
                      <w:pPr>
                        <w:pStyle w:val="0"/>
                        <w:spacing w:line="440" w:lineRule="exact"/>
                        <w:jc w:val="left"/>
                        <w:rPr>
                          <w:rFonts w:hint="default" w:ascii="メイリオ" w:hAnsi="メイリオ" w:eastAsia="メイリオ"/>
                          <w:color w:val="000000" w:themeColor="text1"/>
                          <w:sz w:val="22"/>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受益者負担割合は</w:t>
                      </w:r>
                      <w:r>
                        <w:rPr>
                          <w:rFonts w:hint="default" w:ascii="メイリオ" w:hAnsi="メイリオ" w:eastAsia="メイリオ"/>
                          <w:b w:val="1"/>
                          <w:color w:val="000000" w:themeColor="text1"/>
                          <w:sz w:val="24"/>
                        </w:rPr>
                        <w:t>4.0%</w:t>
                      </w:r>
                      <w:r>
                        <w:rPr>
                          <w:rFonts w:hint="eastAsia" w:ascii="メイリオ" w:hAnsi="メイリオ" w:eastAsia="メイリオ"/>
                          <w:b w:val="1"/>
                          <w:color w:val="000000" w:themeColor="text1"/>
                          <w:sz w:val="24"/>
                        </w:rPr>
                        <w:t>で平均値</w:t>
                      </w:r>
                      <w:r>
                        <w:rPr>
                          <w:rFonts w:hint="default" w:ascii="メイリオ" w:hAnsi="メイリオ" w:eastAsia="メイリオ"/>
                          <w:b w:val="1"/>
                          <w:color w:val="000000" w:themeColor="text1"/>
                          <w:sz w:val="24"/>
                        </w:rPr>
                        <w:t>7.4%</w:t>
                      </w:r>
                      <w:r>
                        <w:rPr>
                          <w:rFonts w:hint="eastAsia" w:ascii="メイリオ" w:hAnsi="メイリオ" w:eastAsia="メイリオ"/>
                          <w:b w:val="1"/>
                          <w:color w:val="000000" w:themeColor="text1"/>
                          <w:sz w:val="24"/>
                        </w:rPr>
                        <w:t>の</w:t>
                      </w:r>
                      <w:r>
                        <w:rPr>
                          <w:rFonts w:hint="default" w:ascii="メイリオ" w:hAnsi="メイリオ" w:eastAsia="メイリオ"/>
                          <w:b w:val="1"/>
                          <w:color w:val="000000" w:themeColor="text1"/>
                          <w:sz w:val="24"/>
                        </w:rPr>
                        <w:t>53.9</w:t>
                      </w:r>
                      <w:r>
                        <w:rPr>
                          <w:rFonts w:hint="eastAsia" w:ascii="メイリオ" w:hAnsi="メイリオ" w:eastAsia="メイリオ"/>
                          <w:b w:val="1"/>
                          <w:color w:val="000000" w:themeColor="text1"/>
                          <w:sz w:val="24"/>
                        </w:rPr>
                        <w:t>％</w:t>
                      </w:r>
                    </w:p>
                  </w:txbxContent>
                </v:textbox>
                <v:imagedata o:title=""/>
                <w10:wrap type="none" anchorx="margin" anchory="text"/>
              </v:roundrect>
            </w:pict>
          </mc:Fallback>
        </mc:AlternateContent>
      </w: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r>
        <w:rPr>
          <w:rFonts w:hint="default"/>
        </w:rPr>
        <w:br w:type="page"/>
      </w:r>
    </w:p>
    <w:p>
      <w:pPr>
        <w:pStyle w:val="0"/>
        <w:autoSpaceDE w:val="0"/>
        <w:autoSpaceDN w:val="0"/>
        <w:adjustRightInd w:val="0"/>
        <w:jc w:val="left"/>
        <w:rPr>
          <w:rFonts w:hint="default" w:ascii="メイリオ" w:hAnsi="メイリオ" w:eastAsia="メイリオ"/>
          <w:kern w:val="0"/>
          <w:sz w:val="28"/>
        </w:rPr>
      </w:pPr>
      <w:r>
        <w:rPr>
          <w:rFonts w:hint="eastAsia" w:ascii="メイリオ" w:hAnsi="メイリオ" w:eastAsia="メイリオ"/>
          <w:color w:val="ED7D31" w:themeColor="accent2"/>
          <w:kern w:val="0"/>
          <w:sz w:val="28"/>
        </w:rPr>
        <w:t>（１）</w:t>
      </w:r>
      <w:r>
        <w:rPr>
          <w:rFonts w:hint="eastAsia" w:ascii="メイリオ" w:hAnsi="メイリオ" w:eastAsia="メイリオ"/>
          <w:kern w:val="0"/>
          <w:sz w:val="28"/>
        </w:rPr>
        <w:t>純資産比率</w:t>
      </w:r>
    </w:p>
    <w:p>
      <w:pPr>
        <w:pStyle w:val="0"/>
        <w:rPr>
          <w:rFonts w:hint="default" w:asciiTheme="minorEastAsia" w:hAnsiTheme="minorEastAsia"/>
          <w:sz w:val="24"/>
        </w:rPr>
      </w:pPr>
      <w:r>
        <w:rPr>
          <w:rFonts w:hint="default"/>
        </w:rPr>
        <w:drawing>
          <wp:inline distT="0" distB="0" distL="0" distR="0">
            <wp:extent cx="6192520" cy="1080135"/>
            <wp:effectExtent l="0" t="0" r="0" b="0"/>
            <wp:docPr id="1079" name="Picture 23"/>
            <a:graphic xmlns:a="http://schemas.openxmlformats.org/drawingml/2006/main">
              <a:graphicData uri="http://schemas.openxmlformats.org/drawingml/2006/picture">
                <pic:pic xmlns:pic="http://schemas.openxmlformats.org/drawingml/2006/picture">
                  <pic:nvPicPr>
                    <pic:cNvPr id="1079" name="Picture 23"/>
                    <pic:cNvPicPr>
                      <a:picLocks noChangeAspect="1" noChangeArrowheads="1"/>
                    </pic:cNvPicPr>
                  </pic:nvPicPr>
                  <pic:blipFill>
                    <a:blip r:embed="rId27"/>
                    <a:stretch>
                      <a:fillRect/>
                    </a:stretch>
                  </pic:blipFill>
                  <pic:spPr>
                    <a:xfrm>
                      <a:off x="0" y="0"/>
                      <a:ext cx="6192520" cy="1080135"/>
                    </a:xfrm>
                    <a:prstGeom prst="rect">
                      <a:avLst/>
                    </a:prstGeom>
                    <a:noFill/>
                    <a:ln>
                      <a:noFill/>
                    </a:ln>
                  </pic:spPr>
                </pic:pic>
              </a:graphicData>
            </a:graphic>
          </wp:inline>
        </w:drawing>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占冠村の純資産比率は、</w:t>
      </w:r>
      <w:r>
        <w:rPr>
          <w:rFonts w:hint="eastAsia" w:asciiTheme="minorEastAsia" w:hAnsiTheme="minorEastAsia"/>
          <w:sz w:val="24"/>
        </w:rPr>
        <w:t>80.5</w:t>
      </w:r>
      <w:r>
        <w:rPr>
          <w:rFonts w:hint="default" w:asciiTheme="minorEastAsia" w:hAnsiTheme="minorEastAsia"/>
          <w:sz w:val="24"/>
        </w:rPr>
        <w:t>%</w:t>
      </w:r>
      <w:r>
        <w:rPr>
          <w:rFonts w:hint="eastAsia" w:asciiTheme="minorEastAsia" w:hAnsiTheme="minorEastAsia"/>
          <w:sz w:val="24"/>
        </w:rPr>
        <w:t>となっています。前年度と比較して</w:t>
      </w:r>
      <w:r>
        <w:rPr>
          <w:rFonts w:hint="eastAsia" w:asciiTheme="minorEastAsia" w:hAnsiTheme="minorEastAsia"/>
          <w:sz w:val="24"/>
        </w:rPr>
        <w:t>2.1</w:t>
      </w:r>
      <w:r>
        <w:rPr>
          <w:rFonts w:hint="eastAsia" w:asciiTheme="minorEastAsia" w:hAnsiTheme="minorEastAsia"/>
          <w:sz w:val="24"/>
        </w:rPr>
        <w:t>ポイントの減少となっています。平均値と比べて高い水準です。</w:t>
      </w:r>
    </w:p>
    <w:p>
      <w:pPr>
        <w:pStyle w:val="0"/>
        <w:ind w:firstLine="240" w:firstLineChars="100"/>
        <w:rPr>
          <w:rFonts w:hint="default" w:asciiTheme="minorEastAsia" w:hAnsiTheme="minorEastAsia"/>
          <w:sz w:val="24"/>
        </w:rPr>
      </w:pPr>
      <w:r>
        <w:rPr>
          <w:rFonts w:hint="eastAsia" w:asciiTheme="minorEastAsia" w:hAnsiTheme="minorEastAsia"/>
          <w:sz w:val="24"/>
        </w:rPr>
        <w:t>例えば、資産である車を</w:t>
      </w:r>
      <w:r>
        <w:rPr>
          <w:rFonts w:hint="eastAsia" w:asciiTheme="minorEastAsia" w:hAnsiTheme="minorEastAsia"/>
          <w:sz w:val="24"/>
        </w:rPr>
        <w:t>100</w:t>
      </w:r>
      <w:r>
        <w:rPr>
          <w:rFonts w:hint="eastAsia" w:asciiTheme="minorEastAsia" w:hAnsiTheme="minorEastAsia"/>
          <w:sz w:val="24"/>
        </w:rPr>
        <w:t>万円で購入した際の自己資金と借金（ローン）の割合を事例にして説明します。この場合、自己資金が</w:t>
      </w:r>
      <w:r>
        <w:rPr>
          <w:rFonts w:hint="eastAsia" w:asciiTheme="minorEastAsia" w:hAnsiTheme="minorEastAsia"/>
          <w:sz w:val="24"/>
        </w:rPr>
        <w:t>30</w:t>
      </w:r>
      <w:r>
        <w:rPr>
          <w:rFonts w:hint="eastAsia" w:asciiTheme="minorEastAsia" w:hAnsiTheme="minorEastAsia"/>
          <w:sz w:val="24"/>
        </w:rPr>
        <w:t>万円で借金が</w:t>
      </w:r>
      <w:r>
        <w:rPr>
          <w:rFonts w:hint="eastAsia" w:asciiTheme="minorEastAsia" w:hAnsiTheme="minorEastAsia"/>
          <w:sz w:val="24"/>
        </w:rPr>
        <w:t>70</w:t>
      </w:r>
      <w:r>
        <w:rPr>
          <w:rFonts w:hint="eastAsia" w:asciiTheme="minorEastAsia" w:hAnsiTheme="minorEastAsia"/>
          <w:sz w:val="24"/>
        </w:rPr>
        <w:t>万円だとすると、この</w:t>
      </w:r>
      <w:r>
        <w:rPr>
          <w:rFonts w:hint="eastAsia" w:asciiTheme="minorEastAsia" w:hAnsiTheme="minorEastAsia"/>
          <w:sz w:val="24"/>
        </w:rPr>
        <w:t>70</w:t>
      </w:r>
      <w:r>
        <w:rPr>
          <w:rFonts w:hint="eastAsia" w:asciiTheme="minorEastAsia" w:hAnsiTheme="minorEastAsia"/>
          <w:sz w:val="24"/>
        </w:rPr>
        <w:t>万円は将来の自分が払っていくことになります。</w:t>
      </w:r>
    </w:p>
    <w:p>
      <w:pPr>
        <w:pStyle w:val="0"/>
        <w:ind w:firstLine="240" w:firstLineChars="100"/>
        <w:rPr>
          <w:rFonts w:hint="default" w:asciiTheme="minorEastAsia" w:hAnsiTheme="minorEastAsia"/>
          <w:sz w:val="24"/>
        </w:rPr>
      </w:pPr>
      <w:r>
        <w:rPr>
          <w:rFonts w:hint="eastAsia" w:asciiTheme="minorEastAsia" w:hAnsiTheme="minorEastAsia"/>
          <w:sz w:val="24"/>
        </w:rPr>
        <w:t>ここでいう自己資金は貸借対照表の純資産であり、借金は負債ということになります。</w:t>
      </w:r>
    </w:p>
    <w:p>
      <w:pPr>
        <w:pStyle w:val="0"/>
        <w:ind w:firstLine="240" w:firstLineChars="100"/>
        <w:rPr>
          <w:rFonts w:hint="default" w:asciiTheme="minorEastAsia" w:hAnsiTheme="minorEastAsia"/>
          <w:sz w:val="24"/>
        </w:rPr>
      </w:pPr>
      <w:r>
        <w:rPr>
          <w:rFonts w:hint="eastAsia" w:asciiTheme="minorEastAsia" w:hAnsiTheme="minorEastAsia"/>
          <w:sz w:val="24"/>
        </w:rPr>
        <w:t>占冠村の場合だと、自己資金が</w:t>
      </w:r>
      <w:r>
        <w:rPr>
          <w:rFonts w:hint="eastAsia" w:asciiTheme="minorEastAsia" w:hAnsiTheme="minorEastAsia"/>
          <w:sz w:val="24"/>
        </w:rPr>
        <w:t>80.5</w:t>
      </w:r>
      <w:r>
        <w:rPr>
          <w:rFonts w:hint="eastAsia" w:asciiTheme="minorEastAsia" w:hAnsiTheme="minorEastAsia"/>
          <w:sz w:val="24"/>
        </w:rPr>
        <w:t>万円、借金が</w:t>
      </w:r>
      <w:r>
        <w:rPr>
          <w:rFonts w:hint="eastAsia" w:asciiTheme="minorEastAsia" w:hAnsiTheme="minorEastAsia"/>
          <w:sz w:val="24"/>
        </w:rPr>
        <w:t>19.5</w:t>
      </w:r>
      <w:r>
        <w:rPr>
          <w:rFonts w:hint="eastAsia" w:asciiTheme="minorEastAsia" w:hAnsiTheme="minorEastAsia"/>
          <w:sz w:val="24"/>
        </w:rPr>
        <w:t>万円ということになります。しかしながら、資産の老朽化が進めば比率が低下していくことになります。</w:t>
      </w:r>
    </w:p>
    <w:p>
      <w:pPr>
        <w:pStyle w:val="0"/>
        <w:ind w:firstLine="240" w:firstLineChars="100"/>
        <w:rPr>
          <w:rFonts w:hint="default" w:asciiTheme="minorEastAsia" w:hAnsiTheme="minorEastAsia"/>
          <w:sz w:val="24"/>
        </w:rPr>
      </w:pPr>
      <w:r>
        <w:rPr>
          <w:rFonts w:hint="eastAsia" w:asciiTheme="minorEastAsia" w:hAnsiTheme="minorEastAsia"/>
          <w:sz w:val="24"/>
        </w:rPr>
        <w:t>その意味でも、今後、世代間のバランスを見ながら資産の更新や形成をしていく必要があります。</w:t>
      </w:r>
    </w:p>
    <w:p>
      <w:pPr>
        <w:pStyle w:val="0"/>
        <w:ind w:firstLine="210" w:firstLineChars="100"/>
        <w:rPr>
          <w:rFonts w:hint="default" w:ascii="メイリオ" w:hAnsi="メイリオ" w:eastAsia="メイリオ"/>
        </w:rPr>
      </w:pPr>
    </w:p>
    <w:p>
      <w:pPr>
        <w:pStyle w:val="0"/>
        <w:rPr>
          <w:rFonts w:hint="default" w:ascii="メイリオ" w:hAnsi="メイリオ" w:eastAsia="メイリオ"/>
        </w:rPr>
      </w:pPr>
      <w:r>
        <w:rPr>
          <w:rFonts w:hint="eastAsia" w:ascii="メイリオ" w:hAnsi="メイリオ" w:eastAsia="メイリオ"/>
        </w:rPr>
        <w:t>【純資産比率のイメージ図】</w:t>
      </w:r>
    </w:p>
    <w:p>
      <w:pPr>
        <w:pStyle w:val="0"/>
        <w:jc w:val="center"/>
        <w:rPr>
          <w:rFonts w:hint="default" w:ascii="メイリオ" w:hAnsi="メイリオ" w:eastAsia="メイリオ"/>
        </w:rPr>
      </w:pPr>
      <w:r>
        <w:rPr>
          <w:rFonts w:hint="default"/>
        </w:rPr>
        <w:drawing>
          <wp:inline distT="0" distB="0" distL="0" distR="0">
            <wp:extent cx="4676775" cy="1457325"/>
            <wp:effectExtent l="0" t="0" r="0" b="0"/>
            <wp:docPr id="1080" name="Picture 24"/>
            <a:graphic xmlns:a="http://schemas.openxmlformats.org/drawingml/2006/main">
              <a:graphicData uri="http://schemas.openxmlformats.org/drawingml/2006/picture">
                <pic:pic xmlns:pic="http://schemas.openxmlformats.org/drawingml/2006/picture">
                  <pic:nvPicPr>
                    <pic:cNvPr id="1080" name="Picture 24"/>
                    <pic:cNvPicPr>
                      <a:picLocks noChangeAspect="1" noChangeArrowheads="1"/>
                    </pic:cNvPicPr>
                  </pic:nvPicPr>
                  <pic:blipFill>
                    <a:blip r:embed="rId28"/>
                    <a:stretch>
                      <a:fillRect/>
                    </a:stretch>
                  </pic:blipFill>
                  <pic:spPr>
                    <a:xfrm>
                      <a:off x="0" y="0"/>
                      <a:ext cx="4676775" cy="1457325"/>
                    </a:xfrm>
                    <a:prstGeom prst="rect">
                      <a:avLst/>
                    </a:prstGeom>
                    <a:noFill/>
                    <a:ln>
                      <a:noFill/>
                    </a:ln>
                  </pic:spPr>
                </pic:pic>
              </a:graphicData>
            </a:graphic>
          </wp:inline>
        </w:drawing>
      </w:r>
    </w:p>
    <w:p>
      <w:pPr>
        <w:pStyle w:val="0"/>
        <w:jc w:val="center"/>
        <w:rPr>
          <w:rFonts w:hint="default" w:ascii="メイリオ" w:hAnsi="メイリオ" w:eastAsia="メイリオ"/>
        </w:rPr>
      </w:pPr>
    </w:p>
    <w:p>
      <w:pPr>
        <w:pStyle w:val="0"/>
        <w:rPr>
          <w:rFonts w:hint="default" w:ascii="メイリオ" w:hAnsi="メイリオ" w:eastAsia="メイリオ"/>
        </w:rPr>
      </w:pPr>
    </w:p>
    <w:p>
      <w:pPr>
        <w:pStyle w:val="0"/>
        <w:rPr>
          <w:rFonts w:hint="default" w:ascii="メイリオ" w:hAnsi="メイリオ" w:eastAsia="メイリオ"/>
        </w:rPr>
      </w:pPr>
    </w:p>
    <w:p>
      <w:pPr>
        <w:pStyle w:val="0"/>
        <w:rPr>
          <w:rFonts w:hint="default" w:ascii="メイリオ" w:hAnsi="メイリオ" w:eastAsia="メイリオ"/>
        </w:rPr>
      </w:pPr>
    </w:p>
    <w:p>
      <w:pPr>
        <w:pStyle w:val="0"/>
        <w:rPr>
          <w:rFonts w:hint="default" w:ascii="メイリオ" w:hAnsi="メイリオ" w:eastAsia="メイリオ"/>
        </w:rPr>
      </w:pPr>
    </w:p>
    <w:p>
      <w:pPr>
        <w:pStyle w:val="0"/>
        <w:autoSpaceDE w:val="0"/>
        <w:autoSpaceDN w:val="0"/>
        <w:adjustRightInd w:val="0"/>
        <w:jc w:val="left"/>
        <w:rPr>
          <w:rFonts w:hint="default" w:ascii="メイリオ" w:hAnsi="メイリオ" w:eastAsia="メイリオ"/>
          <w:kern w:val="0"/>
          <w:sz w:val="28"/>
        </w:rPr>
      </w:pPr>
      <w:r>
        <w:rPr>
          <w:rFonts w:hint="eastAsia" w:ascii="メイリオ" w:hAnsi="メイリオ" w:eastAsia="メイリオ"/>
          <w:color w:val="ED7D31" w:themeColor="accent2"/>
          <w:kern w:val="0"/>
          <w:sz w:val="28"/>
        </w:rPr>
        <w:t>（２）</w:t>
      </w:r>
      <w:r>
        <w:rPr>
          <w:rFonts w:hint="eastAsia" w:ascii="メイリオ" w:hAnsi="メイリオ" w:eastAsia="メイリオ"/>
          <w:kern w:val="0"/>
          <w:sz w:val="28"/>
        </w:rPr>
        <w:t>住民一人当たりの資産額</w:t>
      </w:r>
    </w:p>
    <w:p>
      <w:pPr>
        <w:pStyle w:val="0"/>
        <w:rPr>
          <w:rFonts w:hint="default" w:asciiTheme="minorEastAsia" w:hAnsiTheme="minorEastAsia"/>
          <w:sz w:val="24"/>
        </w:rPr>
      </w:pPr>
      <w:r>
        <w:rPr>
          <w:rFonts w:hint="default"/>
        </w:rPr>
        <w:drawing>
          <wp:inline distT="0" distB="0" distL="0" distR="0">
            <wp:extent cx="6192520" cy="1102995"/>
            <wp:effectExtent l="0" t="0" r="0" b="0"/>
            <wp:docPr id="1081" name="Picture 25"/>
            <a:graphic xmlns:a="http://schemas.openxmlformats.org/drawingml/2006/main">
              <a:graphicData uri="http://schemas.openxmlformats.org/drawingml/2006/picture">
                <pic:pic xmlns:pic="http://schemas.openxmlformats.org/drawingml/2006/picture">
                  <pic:nvPicPr>
                    <pic:cNvPr id="1081" name="Picture 25"/>
                    <pic:cNvPicPr>
                      <a:picLocks noChangeAspect="1" noChangeArrowheads="1"/>
                    </pic:cNvPicPr>
                  </pic:nvPicPr>
                  <pic:blipFill>
                    <a:blip r:embed="rId29"/>
                    <a:stretch>
                      <a:fillRect/>
                    </a:stretch>
                  </pic:blipFill>
                  <pic:spPr>
                    <a:xfrm>
                      <a:off x="0" y="0"/>
                      <a:ext cx="6192520" cy="1102995"/>
                    </a:xfrm>
                    <a:prstGeom prst="rect">
                      <a:avLst/>
                    </a:prstGeom>
                    <a:noFill/>
                    <a:ln>
                      <a:noFill/>
                    </a:ln>
                  </pic:spPr>
                </pic:pic>
              </a:graphicData>
            </a:graphic>
          </wp:inline>
        </w:drawing>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自治体の資産総額は人口規模によって異なるので、住民一人当たりの数値に置き換えて分析をする必要があります。人口は令和</w:t>
      </w:r>
      <w:r>
        <w:rPr>
          <w:rFonts w:hint="eastAsia" w:asciiTheme="minorEastAsia" w:hAnsiTheme="minorEastAsia"/>
          <w:sz w:val="24"/>
        </w:rPr>
        <w:t>2</w:t>
      </w:r>
      <w:r>
        <w:rPr>
          <w:rFonts w:hint="eastAsia" w:asciiTheme="minorEastAsia" w:hAnsiTheme="minorEastAsia"/>
          <w:sz w:val="24"/>
        </w:rPr>
        <w:t>年</w:t>
      </w:r>
      <w:r>
        <w:rPr>
          <w:rFonts w:hint="eastAsia" w:asciiTheme="minorEastAsia" w:hAnsiTheme="minorEastAsia"/>
          <w:sz w:val="24"/>
        </w:rPr>
        <w:t>3</w:t>
      </w:r>
      <w:r>
        <w:rPr>
          <w:rFonts w:hint="eastAsia" w:asciiTheme="minorEastAsia" w:hAnsiTheme="minorEastAsia"/>
          <w:sz w:val="24"/>
        </w:rPr>
        <w:t>月</w:t>
      </w:r>
      <w:r>
        <w:rPr>
          <w:rFonts w:hint="eastAsia" w:asciiTheme="minorEastAsia" w:hAnsiTheme="minorEastAsia"/>
          <w:sz w:val="24"/>
        </w:rPr>
        <w:t>31</w:t>
      </w:r>
      <w:r>
        <w:rPr>
          <w:rFonts w:hint="eastAsia" w:asciiTheme="minorEastAsia" w:hAnsiTheme="minorEastAsia"/>
          <w:sz w:val="24"/>
        </w:rPr>
        <w:t>日の住民基本台帳の</w:t>
      </w:r>
      <w:r>
        <w:rPr>
          <w:rFonts w:hint="eastAsia" w:asciiTheme="minorEastAsia" w:hAnsiTheme="minorEastAsia"/>
          <w:sz w:val="24"/>
        </w:rPr>
        <w:t>1,613</w:t>
      </w:r>
      <w:r>
        <w:rPr>
          <w:rFonts w:hint="eastAsia" w:asciiTheme="minorEastAsia" w:hAnsiTheme="minorEastAsia"/>
          <w:sz w:val="24"/>
        </w:rPr>
        <w:t>人で算出しています。</w:t>
      </w:r>
    </w:p>
    <w:p>
      <w:pPr>
        <w:pStyle w:val="0"/>
        <w:ind w:firstLine="240" w:firstLineChars="100"/>
        <w:rPr>
          <w:rFonts w:hint="default" w:asciiTheme="minorEastAsia" w:hAnsiTheme="minorEastAsia"/>
          <w:sz w:val="24"/>
        </w:rPr>
      </w:pPr>
      <w:r>
        <w:rPr>
          <w:rFonts w:hint="eastAsia" w:asciiTheme="minorEastAsia" w:hAnsiTheme="minorEastAsia"/>
          <w:sz w:val="24"/>
        </w:rPr>
        <w:t>占冠村の「住民一人当たりの資産額」は</w:t>
      </w:r>
      <w:r>
        <w:rPr>
          <w:rFonts w:hint="eastAsia" w:asciiTheme="minorEastAsia" w:hAnsiTheme="minorEastAsia"/>
          <w:sz w:val="24"/>
        </w:rPr>
        <w:t>975</w:t>
      </w:r>
      <w:r>
        <w:rPr>
          <w:rFonts w:hint="eastAsia" w:asciiTheme="minorEastAsia" w:hAnsiTheme="minorEastAsia"/>
          <w:sz w:val="24"/>
        </w:rPr>
        <w:t>万円で前年度より減少しており、平均値の</w:t>
      </w:r>
      <w:r>
        <w:rPr>
          <w:rFonts w:hint="eastAsia" w:asciiTheme="minorEastAsia" w:hAnsiTheme="minorEastAsia"/>
          <w:sz w:val="24"/>
        </w:rPr>
        <w:t>917</w:t>
      </w:r>
      <w:r>
        <w:rPr>
          <w:rFonts w:hint="eastAsia" w:asciiTheme="minorEastAsia" w:hAnsiTheme="minorEastAsia"/>
          <w:sz w:val="24"/>
        </w:rPr>
        <w:t>万円より高い水準です。</w:t>
      </w:r>
    </w:p>
    <w:p>
      <w:pPr>
        <w:pStyle w:val="0"/>
        <w:ind w:firstLine="240" w:firstLineChars="100"/>
        <w:rPr>
          <w:rFonts w:hint="default" w:asciiTheme="minorEastAsia" w:hAnsiTheme="minorEastAsia"/>
          <w:sz w:val="24"/>
        </w:rPr>
      </w:pPr>
      <w:r>
        <w:rPr>
          <w:rFonts w:hint="eastAsia" w:asciiTheme="minorEastAsia" w:hAnsiTheme="minorEastAsia"/>
          <w:sz w:val="24"/>
        </w:rPr>
        <w:t>資産が多いということは、それだけ住民の福祉の増進や住民サービスに寄与することになります。しかし、その一方で資産の大きさに応じて維持補修費などのコストが発生します。</w:t>
      </w:r>
    </w:p>
    <w:p>
      <w:pPr>
        <w:pStyle w:val="0"/>
        <w:rPr>
          <w:rFonts w:hint="default" w:asciiTheme="minorEastAsia" w:hAnsiTheme="minorEastAsia"/>
          <w:sz w:val="24"/>
        </w:rPr>
      </w:pPr>
    </w:p>
    <w:p>
      <w:pPr>
        <w:pStyle w:val="0"/>
        <w:autoSpaceDE w:val="0"/>
        <w:autoSpaceDN w:val="0"/>
        <w:adjustRightInd w:val="0"/>
        <w:jc w:val="left"/>
        <w:rPr>
          <w:rFonts w:hint="default" w:ascii="メイリオ" w:hAnsi="メイリオ" w:eastAsia="メイリオ"/>
          <w:kern w:val="0"/>
          <w:sz w:val="28"/>
        </w:rPr>
      </w:pPr>
      <w:r>
        <w:rPr>
          <w:rFonts w:hint="eastAsia" w:ascii="メイリオ" w:hAnsi="メイリオ" w:eastAsia="メイリオ"/>
          <w:color w:val="ED7D31" w:themeColor="accent2"/>
          <w:kern w:val="0"/>
          <w:sz w:val="28"/>
        </w:rPr>
        <w:t>（３）</w:t>
      </w:r>
      <w:r>
        <w:rPr>
          <w:rFonts w:hint="eastAsia" w:ascii="メイリオ" w:hAnsi="メイリオ" w:eastAsia="メイリオ"/>
          <w:kern w:val="0"/>
          <w:sz w:val="28"/>
        </w:rPr>
        <w:t>住民一人当たりの負債額</w:t>
      </w:r>
    </w:p>
    <w:p>
      <w:pPr>
        <w:pStyle w:val="0"/>
        <w:rPr>
          <w:rFonts w:hint="default" w:asciiTheme="minorEastAsia" w:hAnsiTheme="minorEastAsia"/>
          <w:sz w:val="24"/>
        </w:rPr>
      </w:pPr>
      <w:r>
        <w:rPr>
          <w:rFonts w:hint="default"/>
        </w:rPr>
        <w:drawing>
          <wp:inline distT="0" distB="0" distL="0" distR="0">
            <wp:extent cx="6192520" cy="1102995"/>
            <wp:effectExtent l="0" t="0" r="0" b="0"/>
            <wp:docPr id="1082" name="Picture 26"/>
            <a:graphic xmlns:a="http://schemas.openxmlformats.org/drawingml/2006/main">
              <a:graphicData uri="http://schemas.openxmlformats.org/drawingml/2006/picture">
                <pic:pic xmlns:pic="http://schemas.openxmlformats.org/drawingml/2006/picture">
                  <pic:nvPicPr>
                    <pic:cNvPr id="1082" name="Picture 26"/>
                    <pic:cNvPicPr>
                      <a:picLocks noChangeAspect="1" noChangeArrowheads="1"/>
                    </pic:cNvPicPr>
                  </pic:nvPicPr>
                  <pic:blipFill>
                    <a:blip r:embed="rId30"/>
                    <a:stretch>
                      <a:fillRect/>
                    </a:stretch>
                  </pic:blipFill>
                  <pic:spPr>
                    <a:xfrm>
                      <a:off x="0" y="0"/>
                      <a:ext cx="6192520" cy="1102995"/>
                    </a:xfrm>
                    <a:prstGeom prst="rect">
                      <a:avLst/>
                    </a:prstGeom>
                    <a:noFill/>
                    <a:ln>
                      <a:noFill/>
                    </a:ln>
                  </pic:spPr>
                </pic:pic>
              </a:graphicData>
            </a:graphic>
          </wp:inline>
        </w:drawing>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住民一人当たりの負債額が適正かどうかを見るには、同じ規模の自治体と比較する必要があります。この数字が低ければ借金が少なく、財政運営が健全であるといえます。占冠村は前年度よりやや減少しており、平均値と比較して低い水準となっています。</w:t>
      </w:r>
    </w:p>
    <w:p>
      <w:pPr>
        <w:pStyle w:val="0"/>
        <w:ind w:firstLine="240" w:firstLineChars="100"/>
        <w:rPr>
          <w:rFonts w:hint="default" w:asciiTheme="minorEastAsia" w:hAnsiTheme="minorEastAsia"/>
          <w:sz w:val="24"/>
        </w:rPr>
      </w:pPr>
      <w:r>
        <w:rPr>
          <w:rFonts w:hint="default" w:asciiTheme="minorEastAsia" w:hAnsiTheme="minorEastAsia"/>
          <w:sz w:val="24"/>
        </w:rPr>
        <w:t>他自治体の指標が出そろった</w:t>
      </w:r>
      <w:r>
        <w:rPr>
          <w:rFonts w:hint="eastAsia" w:asciiTheme="minorEastAsia" w:hAnsiTheme="minorEastAsia"/>
          <w:sz w:val="24"/>
        </w:rPr>
        <w:t>段階</w:t>
      </w:r>
      <w:r>
        <w:rPr>
          <w:rFonts w:hint="default" w:asciiTheme="minorEastAsia" w:hAnsiTheme="minorEastAsia"/>
          <w:sz w:val="24"/>
        </w:rPr>
        <w:t>で改めて比較する必要があります。</w:t>
      </w:r>
      <w:r>
        <w:rPr>
          <w:rFonts w:hint="default" w:asciiTheme="minorEastAsia" w:hAnsiTheme="minorEastAsia"/>
          <w:sz w:val="24"/>
        </w:rPr>
        <w:br w:type="page"/>
      </w:r>
    </w:p>
    <w:p>
      <w:pPr>
        <w:pStyle w:val="0"/>
        <w:autoSpaceDE w:val="0"/>
        <w:autoSpaceDN w:val="0"/>
        <w:adjustRightInd w:val="0"/>
        <w:jc w:val="left"/>
        <w:rPr>
          <w:rFonts w:hint="default" w:ascii="メイリオ" w:hAnsi="メイリオ" w:eastAsia="メイリオ"/>
          <w:kern w:val="0"/>
          <w:sz w:val="28"/>
        </w:rPr>
      </w:pPr>
      <w:r>
        <w:rPr>
          <w:rFonts w:hint="eastAsia" w:ascii="メイリオ" w:hAnsi="メイリオ" w:eastAsia="メイリオ"/>
          <w:color w:val="ED7D31" w:themeColor="accent2"/>
          <w:kern w:val="0"/>
          <w:sz w:val="28"/>
        </w:rPr>
        <w:t>（４）</w:t>
      </w:r>
      <w:r>
        <w:rPr>
          <w:rFonts w:hint="eastAsia" w:ascii="メイリオ" w:hAnsi="メイリオ" w:eastAsia="メイリオ"/>
          <w:kern w:val="0"/>
          <w:sz w:val="28"/>
        </w:rPr>
        <w:t>資産老朽化比率</w:t>
      </w:r>
    </w:p>
    <w:p>
      <w:pPr>
        <w:pStyle w:val="0"/>
        <w:rPr>
          <w:rFonts w:hint="default" w:asciiTheme="minorEastAsia" w:hAnsiTheme="minorEastAsia"/>
          <w:sz w:val="24"/>
        </w:rPr>
      </w:pPr>
      <w:r>
        <w:rPr>
          <w:rFonts w:hint="eastAsia"/>
        </w:rPr>
        <w:drawing>
          <wp:inline distT="0" distB="0" distL="0" distR="0">
            <wp:extent cx="6192520" cy="1833245"/>
            <wp:effectExtent l="0" t="0" r="0" b="0"/>
            <wp:docPr id="1083" name="Picture 27"/>
            <a:graphic xmlns:a="http://schemas.openxmlformats.org/drawingml/2006/main">
              <a:graphicData uri="http://schemas.openxmlformats.org/drawingml/2006/picture">
                <pic:pic xmlns:pic="http://schemas.openxmlformats.org/drawingml/2006/picture">
                  <pic:nvPicPr>
                    <pic:cNvPr id="1083" name="Picture 27"/>
                    <pic:cNvPicPr>
                      <a:picLocks noChangeAspect="1" noChangeArrowheads="1"/>
                    </pic:cNvPicPr>
                  </pic:nvPicPr>
                  <pic:blipFill>
                    <a:blip r:embed="rId31"/>
                    <a:stretch>
                      <a:fillRect/>
                    </a:stretch>
                  </pic:blipFill>
                  <pic:spPr>
                    <a:xfrm>
                      <a:off x="0" y="0"/>
                      <a:ext cx="6192520" cy="1833245"/>
                    </a:xfrm>
                    <a:prstGeom prst="rect">
                      <a:avLst/>
                    </a:prstGeom>
                    <a:noFill/>
                    <a:ln>
                      <a:noFill/>
                    </a:ln>
                  </pic:spPr>
                </pic:pic>
              </a:graphicData>
            </a:graphic>
          </wp:inline>
        </w:drawing>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有形固定資産のうち、償却資産の取得価額等に対する減価償却累計額の割合を算出することで、耐用年数に対して、資産の取得からどの程度経過しているのかを把握することができ、各種指標の中でも最も有用であるとされています。</w:t>
      </w:r>
    </w:p>
    <w:p>
      <w:pPr>
        <w:pStyle w:val="0"/>
        <w:ind w:firstLine="240" w:firstLineChars="100"/>
        <w:rPr>
          <w:rFonts w:hint="default" w:asciiTheme="minorEastAsia" w:hAnsiTheme="minorEastAsia"/>
          <w:sz w:val="24"/>
        </w:rPr>
      </w:pPr>
      <w:r>
        <w:rPr>
          <w:rFonts w:hint="eastAsia" w:asciiTheme="minorEastAsia" w:hAnsiTheme="minorEastAsia"/>
          <w:sz w:val="24"/>
        </w:rPr>
        <w:t>具体的な</w:t>
      </w:r>
      <w:r>
        <w:rPr>
          <w:rFonts w:hint="default" w:asciiTheme="minorEastAsia" w:hAnsiTheme="minorEastAsia"/>
          <w:sz w:val="24"/>
        </w:rPr>
        <w:t>有用性としては以下の</w:t>
      </w:r>
      <w:r>
        <w:rPr>
          <w:rFonts w:hint="eastAsia" w:asciiTheme="minorEastAsia" w:hAnsiTheme="minorEastAsia"/>
          <w:sz w:val="24"/>
        </w:rPr>
        <w:t>2</w:t>
      </w:r>
      <w:r>
        <w:rPr>
          <w:rFonts w:hint="default" w:asciiTheme="minorEastAsia" w:hAnsiTheme="minorEastAsia"/>
          <w:sz w:val="24"/>
        </w:rPr>
        <w:t>点があげられます。</w:t>
      </w:r>
    </w:p>
    <w:p>
      <w:pPr>
        <w:pStyle w:val="0"/>
        <w:rPr>
          <w:rFonts w:hint="default" w:asciiTheme="minorEastAsia" w:hAnsiTheme="minorEastAsia"/>
          <w:sz w:val="24"/>
        </w:rPr>
      </w:pPr>
    </w:p>
    <w:tbl>
      <w:tblPr>
        <w:tblStyle w:val="11"/>
        <w:tblW w:w="9639" w:type="dxa"/>
        <w:jc w:val="center"/>
        <w:tblInd w:w="0" w:type="dxa"/>
        <w:tblBorders>
          <w:top w:val="single" w:color="C0C0C0" w:sz="8" w:space="0"/>
          <w:left w:val="single" w:color="C0C0C0" w:sz="8" w:space="0"/>
          <w:bottom w:val="single" w:color="C0C0C0" w:sz="8" w:space="0"/>
          <w:right w:val="single" w:color="C0C0C0" w:sz="8" w:space="0"/>
        </w:tblBorders>
        <w:tblLayout w:type="fixed"/>
        <w:tblCellMar>
          <w:top w:w="113" w:type="dxa"/>
          <w:bottom w:w="113" w:type="dxa"/>
        </w:tblCellMar>
        <w:tblLook w:firstRow="1" w:lastRow="1" w:firstColumn="1" w:lastColumn="1" w:noHBand="0" w:noVBand="0" w:val="01E0"/>
      </w:tblPr>
      <w:tblGrid>
        <w:gridCol w:w="9639"/>
      </w:tblGrid>
      <w:tr>
        <w:trPr/>
        <w:tc>
          <w:tcPr>
            <w:tcW w:w="9639" w:type="dxa"/>
            <w:shd w:val="thinHorzStripe" w:color="FFFFF0" w:fill="auto"/>
            <w:vAlign w:val="top"/>
          </w:tcPr>
          <w:p>
            <w:pPr>
              <w:pStyle w:val="0"/>
              <w:spacing w:line="440" w:lineRule="exact"/>
              <w:ind w:left="210" w:hanging="210" w:hangingChars="100"/>
              <w:rPr>
                <w:rFonts w:hint="default" w:ascii="メイリオ" w:hAnsi="メイリオ" w:eastAsia="メイリオ"/>
              </w:rPr>
            </w:pPr>
            <w:r>
              <w:rPr>
                <w:rFonts w:hint="eastAsia" w:ascii="メイリオ" w:hAnsi="メイリオ" w:eastAsia="メイリオ"/>
                <w:color w:val="ED7D31" w:themeColor="accent2"/>
              </w:rPr>
              <w:t>●</w:t>
            </w:r>
            <w:r>
              <w:rPr>
                <w:rFonts w:hint="eastAsia" w:ascii="メイリオ" w:hAnsi="メイリオ" w:eastAsia="メイリオ"/>
              </w:rPr>
              <w:t>既存の財政指標では把握できなかった自治体の資産の現状に関する情報を他の自治体と横比較できる形で「見える化」することができる。</w:t>
            </w:r>
          </w:p>
          <w:p>
            <w:pPr>
              <w:pStyle w:val="0"/>
              <w:spacing w:line="440" w:lineRule="exact"/>
              <w:ind w:left="210" w:hanging="210" w:hangingChars="100"/>
              <w:rPr>
                <w:rFonts w:hint="default" w:ascii="メイリオ" w:hAnsi="メイリオ" w:eastAsia="メイリオ"/>
              </w:rPr>
            </w:pPr>
            <w:r>
              <w:rPr>
                <w:rFonts w:hint="eastAsia" w:ascii="メイリオ" w:hAnsi="メイリオ" w:eastAsia="メイリオ"/>
                <w:color w:val="ED7D31" w:themeColor="accent2"/>
              </w:rPr>
              <w:t>●</w:t>
            </w:r>
            <w:r>
              <w:rPr>
                <w:rFonts w:hint="eastAsia" w:ascii="メイリオ" w:hAnsi="メイリオ" w:eastAsia="メイリオ"/>
              </w:rPr>
              <w:t>指標を他の団体と比較することによって、公共施設の現状を把握し、今後どのように公共施設全体をマネジメントしていくかについて、政策を検討するきっかけを得ることができる。</w:t>
            </w:r>
          </w:p>
        </w:tc>
      </w:tr>
    </w:tbl>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この指標が</w:t>
      </w:r>
      <w:r>
        <w:rPr>
          <w:rFonts w:hint="eastAsia" w:asciiTheme="minorEastAsia" w:hAnsiTheme="minorEastAsia"/>
          <w:sz w:val="24"/>
        </w:rPr>
        <w:t>50</w:t>
      </w:r>
      <w:r>
        <w:rPr>
          <w:rFonts w:hint="eastAsia" w:asciiTheme="minorEastAsia" w:hAnsiTheme="minorEastAsia"/>
          <w:sz w:val="24"/>
        </w:rPr>
        <w:t>％になると、現在保有している建物や施設の半分が、すでに帳簿上の価値を失っているということになります。今後の施設等の更新時期や更新費用について留意する必要があることを警告するものです。</w:t>
      </w:r>
    </w:p>
    <w:p>
      <w:pPr>
        <w:pStyle w:val="0"/>
        <w:ind w:firstLine="240" w:firstLineChars="100"/>
        <w:rPr>
          <w:rFonts w:hint="default" w:asciiTheme="minorEastAsia" w:hAnsiTheme="minorEastAsia"/>
          <w:sz w:val="24"/>
        </w:rPr>
      </w:pPr>
      <w:r>
        <w:rPr>
          <w:rFonts w:hint="eastAsia" w:asciiTheme="minorEastAsia" w:hAnsiTheme="minorEastAsia"/>
          <w:sz w:val="24"/>
        </w:rPr>
        <w:t>占冠村の指標は、</w:t>
      </w:r>
      <w:r>
        <w:rPr>
          <w:rFonts w:hint="eastAsia" w:asciiTheme="minorEastAsia" w:hAnsiTheme="minorEastAsia"/>
          <w:sz w:val="24"/>
        </w:rPr>
        <w:t>67.7</w:t>
      </w:r>
      <w:r>
        <w:rPr>
          <w:rFonts w:hint="eastAsia" w:asciiTheme="minorEastAsia" w:hAnsiTheme="minorEastAsia"/>
          <w:sz w:val="24"/>
        </w:rPr>
        <w:t>％であり、老朽化が進んでいます。資産の内訳をみると、事業用資産が</w:t>
      </w:r>
      <w:r>
        <w:rPr>
          <w:rFonts w:hint="eastAsia" w:asciiTheme="minorEastAsia" w:hAnsiTheme="minorEastAsia"/>
          <w:sz w:val="24"/>
        </w:rPr>
        <w:t>73.7</w:t>
      </w:r>
      <w:r>
        <w:rPr>
          <w:rFonts w:hint="eastAsia" w:asciiTheme="minorEastAsia" w:hAnsiTheme="minorEastAsia"/>
          <w:sz w:val="24"/>
        </w:rPr>
        <w:t>％、インフラ資産が</w:t>
      </w:r>
      <w:r>
        <w:rPr>
          <w:rFonts w:hint="eastAsia" w:asciiTheme="minorEastAsia" w:hAnsiTheme="minorEastAsia"/>
          <w:sz w:val="24"/>
        </w:rPr>
        <w:t>52.1</w:t>
      </w:r>
      <w:r>
        <w:rPr>
          <w:rFonts w:hint="eastAsia" w:asciiTheme="minorEastAsia" w:hAnsiTheme="minorEastAsia"/>
          <w:sz w:val="24"/>
        </w:rPr>
        <w:t>％です。今後は公共施設等総合管理計画に基づいた個別施設計画を策定し、確実に計画を推進していくことが必要となります。</w:t>
      </w:r>
    </w:p>
    <w:p>
      <w:pPr>
        <w:pStyle w:val="0"/>
        <w:autoSpaceDE w:val="0"/>
        <w:autoSpaceDN w:val="0"/>
        <w:adjustRightInd w:val="0"/>
        <w:jc w:val="left"/>
        <w:rPr>
          <w:rFonts w:hint="default" w:ascii="メイリオ" w:hAnsi="メイリオ" w:eastAsia="メイリオ"/>
          <w:color w:val="ED7D31" w:themeColor="accent2"/>
          <w:kern w:val="0"/>
          <w:sz w:val="28"/>
        </w:rPr>
      </w:pPr>
      <w:r>
        <w:rPr>
          <w:rFonts w:hint="default" w:ascii="メイリオ" w:hAnsi="メイリオ" w:eastAsia="メイリオ"/>
          <w:color w:val="ED7D31" w:themeColor="accent2"/>
          <w:kern w:val="0"/>
          <w:sz w:val="28"/>
        </w:rPr>
        <w:br w:type="page"/>
      </w:r>
    </w:p>
    <w:p>
      <w:pPr>
        <w:pStyle w:val="0"/>
        <w:autoSpaceDE w:val="0"/>
        <w:autoSpaceDN w:val="0"/>
        <w:adjustRightInd w:val="0"/>
        <w:jc w:val="left"/>
        <w:rPr>
          <w:rFonts w:hint="default" w:ascii="メイリオ" w:hAnsi="メイリオ" w:eastAsia="メイリオ"/>
          <w:kern w:val="0"/>
          <w:sz w:val="28"/>
        </w:rPr>
      </w:pPr>
      <w:r>
        <w:rPr>
          <w:rFonts w:hint="eastAsia" w:ascii="メイリオ" w:hAnsi="メイリオ" w:eastAsia="メイリオ"/>
          <w:color w:val="ED7D31" w:themeColor="accent2"/>
          <w:kern w:val="0"/>
          <w:sz w:val="28"/>
        </w:rPr>
        <w:t>（５）</w:t>
      </w:r>
      <w:r>
        <w:rPr>
          <w:rFonts w:hint="eastAsia" w:ascii="メイリオ" w:hAnsi="メイリオ" w:eastAsia="メイリオ"/>
          <w:kern w:val="0"/>
          <w:sz w:val="28"/>
        </w:rPr>
        <w:t>住民一人当たりの行政コスト</w:t>
      </w:r>
    </w:p>
    <w:p>
      <w:pPr>
        <w:pStyle w:val="0"/>
        <w:autoSpaceDE w:val="0"/>
        <w:autoSpaceDN w:val="0"/>
        <w:adjustRightInd w:val="0"/>
        <w:jc w:val="left"/>
        <w:rPr>
          <w:rFonts w:hint="default" w:asciiTheme="majorEastAsia" w:hAnsiTheme="majorEastAsia" w:eastAsiaTheme="majorEastAsia"/>
          <w:color w:val="000000"/>
          <w:kern w:val="0"/>
        </w:rPr>
      </w:pPr>
      <w:r>
        <w:rPr>
          <w:rFonts w:hint="default"/>
        </w:rPr>
        <w:drawing>
          <wp:inline distT="0" distB="0" distL="0" distR="0">
            <wp:extent cx="6192520" cy="1102995"/>
            <wp:effectExtent l="0" t="0" r="0" b="0"/>
            <wp:docPr id="1084" name="Picture 28"/>
            <a:graphic xmlns:a="http://schemas.openxmlformats.org/drawingml/2006/main">
              <a:graphicData uri="http://schemas.openxmlformats.org/drawingml/2006/picture">
                <pic:pic xmlns:pic="http://schemas.openxmlformats.org/drawingml/2006/picture">
                  <pic:nvPicPr>
                    <pic:cNvPr id="1084" name="Picture 28"/>
                    <pic:cNvPicPr>
                      <a:picLocks noChangeAspect="1" noChangeArrowheads="1"/>
                    </pic:cNvPicPr>
                  </pic:nvPicPr>
                  <pic:blipFill>
                    <a:blip r:embed="rId32"/>
                    <a:stretch>
                      <a:fillRect/>
                    </a:stretch>
                  </pic:blipFill>
                  <pic:spPr>
                    <a:xfrm>
                      <a:off x="0" y="0"/>
                      <a:ext cx="6192520" cy="1102995"/>
                    </a:xfrm>
                    <a:prstGeom prst="rect">
                      <a:avLst/>
                    </a:prstGeom>
                    <a:noFill/>
                    <a:ln>
                      <a:noFill/>
                    </a:ln>
                  </pic:spPr>
                </pic:pic>
              </a:graphicData>
            </a:graphic>
          </wp:inline>
        </w:drawing>
      </w:r>
    </w:p>
    <w:p>
      <w:pPr>
        <w:pStyle w:val="0"/>
        <w:ind w:firstLine="240" w:firstLineChars="10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行政コスト計算書で算出される経常的なコストである純行政コストを、住民基本台帳で除して住民一人当たり純行政コストとすることにより、自治体の行政活動の効率性を測定することができます。</w:t>
      </w:r>
    </w:p>
    <w:p>
      <w:pPr>
        <w:pStyle w:val="0"/>
        <w:ind w:firstLine="240" w:firstLineChars="100"/>
        <w:rPr>
          <w:rFonts w:hint="default" w:asciiTheme="minorEastAsia" w:hAnsiTheme="minorEastAsia"/>
          <w:sz w:val="24"/>
        </w:rPr>
      </w:pPr>
      <w:r>
        <w:rPr>
          <w:rFonts w:hint="eastAsia" w:asciiTheme="minorEastAsia" w:hAnsiTheme="minorEastAsia"/>
          <w:sz w:val="24"/>
        </w:rPr>
        <w:t>占冠村</w:t>
      </w:r>
      <w:r>
        <w:rPr>
          <w:rFonts w:hint="default" w:asciiTheme="minorEastAsia" w:hAnsiTheme="minorEastAsia"/>
          <w:sz w:val="24"/>
        </w:rPr>
        <w:t>は</w:t>
      </w:r>
      <w:r>
        <w:rPr>
          <w:rFonts w:hint="eastAsia" w:asciiTheme="minorEastAsia" w:hAnsiTheme="minorEastAsia"/>
          <w:sz w:val="24"/>
        </w:rPr>
        <w:t>185</w:t>
      </w:r>
      <w:r>
        <w:rPr>
          <w:rFonts w:hint="default" w:asciiTheme="minorEastAsia" w:hAnsiTheme="minorEastAsia"/>
          <w:sz w:val="24"/>
        </w:rPr>
        <w:t>万円</w:t>
      </w:r>
      <w:r>
        <w:rPr>
          <w:rFonts w:hint="eastAsia" w:asciiTheme="minorEastAsia" w:hAnsiTheme="minorEastAsia"/>
          <w:sz w:val="24"/>
        </w:rPr>
        <w:t>で前年度より減少しておりますが、平均値</w:t>
      </w:r>
      <w:r>
        <w:rPr>
          <w:rFonts w:hint="default" w:asciiTheme="minorEastAsia" w:hAnsiTheme="minorEastAsia"/>
          <w:sz w:val="24"/>
        </w:rPr>
        <w:t>と比較</w:t>
      </w:r>
      <w:r>
        <w:rPr>
          <w:rFonts w:hint="eastAsia" w:asciiTheme="minorEastAsia" w:hAnsiTheme="minorEastAsia"/>
          <w:sz w:val="24"/>
        </w:rPr>
        <w:t>すると依然高い水準と</w:t>
      </w:r>
      <w:r>
        <w:rPr>
          <w:rFonts w:hint="default" w:asciiTheme="minorEastAsia" w:hAnsiTheme="minorEastAsia"/>
          <w:sz w:val="24"/>
        </w:rPr>
        <w:t>なっています。</w:t>
      </w:r>
    </w:p>
    <w:p>
      <w:pPr>
        <w:pStyle w:val="0"/>
        <w:ind w:firstLine="240" w:firstLineChars="100"/>
        <w:rPr>
          <w:rFonts w:hint="default" w:asciiTheme="minorEastAsia" w:hAnsiTheme="minorEastAsia"/>
          <w:sz w:val="24"/>
        </w:rPr>
      </w:pPr>
      <w:r>
        <w:rPr>
          <w:rFonts w:hint="eastAsia" w:asciiTheme="minorEastAsia" w:hAnsiTheme="minorEastAsia"/>
          <w:sz w:val="24"/>
        </w:rPr>
        <w:t>この</w:t>
      </w:r>
      <w:r>
        <w:rPr>
          <w:rFonts w:hint="default" w:asciiTheme="minorEastAsia" w:hAnsiTheme="minorEastAsia"/>
          <w:sz w:val="24"/>
        </w:rPr>
        <w:t>指標は人口</w:t>
      </w:r>
      <w:r>
        <w:rPr>
          <w:rFonts w:hint="eastAsia" w:asciiTheme="minorEastAsia" w:hAnsiTheme="minorEastAsia"/>
          <w:sz w:val="24"/>
        </w:rPr>
        <w:t>規模によって</w:t>
      </w:r>
      <w:r>
        <w:rPr>
          <w:rFonts w:hint="default" w:asciiTheme="minorEastAsia" w:hAnsiTheme="minorEastAsia"/>
          <w:sz w:val="24"/>
        </w:rPr>
        <w:t>適正値が異なりますので、</w:t>
      </w:r>
      <w:r>
        <w:rPr>
          <w:rFonts w:hint="eastAsia" w:asciiTheme="minorEastAsia" w:hAnsiTheme="minorEastAsia"/>
          <w:sz w:val="24"/>
        </w:rPr>
        <w:t>この</w:t>
      </w:r>
      <w:r>
        <w:rPr>
          <w:rFonts w:hint="default" w:asciiTheme="minorEastAsia" w:hAnsiTheme="minorEastAsia"/>
          <w:sz w:val="24"/>
        </w:rPr>
        <w:t>指標を使って</w:t>
      </w:r>
      <w:r>
        <w:rPr>
          <w:rFonts w:hint="eastAsia" w:asciiTheme="minorEastAsia" w:hAnsiTheme="minorEastAsia"/>
          <w:sz w:val="24"/>
        </w:rPr>
        <w:t>分析</w:t>
      </w:r>
      <w:r>
        <w:rPr>
          <w:rFonts w:hint="default" w:asciiTheme="minorEastAsia" w:hAnsiTheme="minorEastAsia"/>
          <w:sz w:val="24"/>
        </w:rPr>
        <w:t>する際には、同規模の人口を有する自治体と比較する必要があります。</w:t>
      </w:r>
    </w:p>
    <w:p>
      <w:pPr>
        <w:pStyle w:val="0"/>
        <w:autoSpaceDE w:val="0"/>
        <w:autoSpaceDN w:val="0"/>
        <w:adjustRightInd w:val="0"/>
        <w:jc w:val="left"/>
        <w:rPr>
          <w:rFonts w:hint="default" w:ascii="メイリオ" w:hAnsi="メイリオ" w:eastAsia="メイリオ"/>
          <w:color w:val="ED7D31" w:themeColor="accent2"/>
          <w:kern w:val="0"/>
          <w:sz w:val="28"/>
        </w:rPr>
      </w:pPr>
    </w:p>
    <w:p>
      <w:pPr>
        <w:pStyle w:val="0"/>
        <w:autoSpaceDE w:val="0"/>
        <w:autoSpaceDN w:val="0"/>
        <w:adjustRightInd w:val="0"/>
        <w:jc w:val="left"/>
        <w:rPr>
          <w:rFonts w:hint="default" w:ascii="メイリオ" w:hAnsi="メイリオ" w:eastAsia="メイリオ"/>
          <w:color w:val="ED7D31" w:themeColor="accent2"/>
          <w:kern w:val="0"/>
          <w:sz w:val="28"/>
        </w:rPr>
      </w:pPr>
      <w:r>
        <w:rPr>
          <w:rFonts w:hint="eastAsia" w:ascii="メイリオ" w:hAnsi="メイリオ" w:eastAsia="メイリオ"/>
          <w:color w:val="ED7D31" w:themeColor="accent2"/>
          <w:kern w:val="0"/>
          <w:sz w:val="28"/>
        </w:rPr>
        <w:t>（６）</w:t>
      </w:r>
      <w:r>
        <w:rPr>
          <w:rFonts w:hint="eastAsia" w:ascii="メイリオ" w:hAnsi="メイリオ" w:eastAsia="メイリオ"/>
          <w:kern w:val="0"/>
          <w:sz w:val="28"/>
        </w:rPr>
        <w:t>受益者負担割合</w:t>
      </w:r>
    </w:p>
    <w:p>
      <w:pPr>
        <w:pStyle w:val="0"/>
        <w:autoSpaceDE w:val="0"/>
        <w:autoSpaceDN w:val="0"/>
        <w:adjustRightInd w:val="0"/>
        <w:jc w:val="left"/>
        <w:rPr>
          <w:rFonts w:hint="default" w:asciiTheme="majorEastAsia" w:hAnsiTheme="majorEastAsia" w:eastAsiaTheme="majorEastAsia"/>
          <w:color w:val="000000"/>
          <w:kern w:val="0"/>
        </w:rPr>
      </w:pPr>
      <w:r>
        <w:rPr>
          <w:rFonts w:hint="default"/>
        </w:rPr>
        <w:drawing>
          <wp:inline distT="0" distB="0" distL="0" distR="0">
            <wp:extent cx="6192520" cy="1102995"/>
            <wp:effectExtent l="0" t="0" r="0" b="0"/>
            <wp:docPr id="1085" name="Picture 29"/>
            <a:graphic xmlns:a="http://schemas.openxmlformats.org/drawingml/2006/main">
              <a:graphicData uri="http://schemas.openxmlformats.org/drawingml/2006/picture">
                <pic:pic xmlns:pic="http://schemas.openxmlformats.org/drawingml/2006/picture">
                  <pic:nvPicPr>
                    <pic:cNvPr id="1085" name="Picture 29"/>
                    <pic:cNvPicPr>
                      <a:picLocks noChangeAspect="1" noChangeArrowheads="1"/>
                    </pic:cNvPicPr>
                  </pic:nvPicPr>
                  <pic:blipFill>
                    <a:blip r:embed="rId33"/>
                    <a:stretch>
                      <a:fillRect/>
                    </a:stretch>
                  </pic:blipFill>
                  <pic:spPr>
                    <a:xfrm>
                      <a:off x="0" y="0"/>
                      <a:ext cx="6192520" cy="1102995"/>
                    </a:xfrm>
                    <a:prstGeom prst="rect">
                      <a:avLst/>
                    </a:prstGeom>
                    <a:noFill/>
                    <a:ln>
                      <a:noFill/>
                    </a:ln>
                  </pic:spPr>
                </pic:pic>
              </a:graphicData>
            </a:graphic>
          </wp:inline>
        </w:drawing>
      </w:r>
    </w:p>
    <w:p>
      <w:pPr>
        <w:pStyle w:val="0"/>
        <w:ind w:firstLine="240" w:firstLineChars="10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受益者負担割合は、行政活動の自律性（受益者負担の水準はどうなっているか）を測定するための指標であり、行政コスト計算における経常収益（使用料・手数料など行政サービスにかかる受益者負担の金額）と経常費用を比較することにより、行政サービスの提供に対する受益者負担の割合を算出することが可能になります。</w:t>
      </w:r>
    </w:p>
    <w:p>
      <w:pPr>
        <w:pStyle w:val="0"/>
        <w:ind w:firstLine="240" w:firstLineChars="100"/>
        <w:rPr>
          <w:rFonts w:hint="default" w:asciiTheme="minorEastAsia" w:hAnsiTheme="minorEastAsia"/>
          <w:sz w:val="24"/>
        </w:rPr>
      </w:pPr>
      <w:r>
        <w:rPr>
          <w:rFonts w:hint="eastAsia" w:asciiTheme="minorEastAsia" w:hAnsiTheme="minorEastAsia"/>
          <w:sz w:val="24"/>
        </w:rPr>
        <w:t>占冠村の受益者負担割合は</w:t>
      </w:r>
      <w:r>
        <w:rPr>
          <w:rFonts w:hint="eastAsia" w:asciiTheme="minorEastAsia" w:hAnsiTheme="minorEastAsia"/>
          <w:sz w:val="24"/>
        </w:rPr>
        <w:t>4.0</w:t>
      </w:r>
      <w:r>
        <w:rPr>
          <w:rFonts w:hint="eastAsia" w:asciiTheme="minorEastAsia" w:hAnsiTheme="minorEastAsia"/>
          <w:sz w:val="24"/>
        </w:rPr>
        <w:t>％で、前年度より</w:t>
      </w:r>
      <w:r>
        <w:rPr>
          <w:rFonts w:hint="eastAsia" w:asciiTheme="minorEastAsia" w:hAnsiTheme="minorEastAsia"/>
          <w:sz w:val="24"/>
        </w:rPr>
        <w:t>3.5</w:t>
      </w:r>
      <w:r>
        <w:rPr>
          <w:rFonts w:hint="eastAsia" w:asciiTheme="minorEastAsia" w:hAnsiTheme="minorEastAsia"/>
          <w:sz w:val="24"/>
        </w:rPr>
        <w:t>ポイント減少しており、経常費用を経常収益で賄っている割合が低くなっていることを示しております。</w:t>
      </w:r>
    </w:p>
    <w:p>
      <w:pPr>
        <w:pStyle w:val="0"/>
        <w:ind w:firstLine="240" w:firstLineChars="10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sectPr>
      <w:footerReference r:id="rId7" w:type="default"/>
      <w:pgSz w:w="11906" w:h="16838"/>
      <w:pgMar w:top="1440" w:right="1077" w:bottom="1440" w:left="1077" w:header="510" w:footer="567"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Ｐゴシック-WinCharSetFFFF-H">
    <w:panose1 w:val="00000000000000000000"/>
    <w:charset w:val="80"/>
    <w:family w:val="auto"/>
    <w:notTrueType/>
    <w:pitch w:val="fixed"/>
    <w:sig w:usb0="00000000" w:usb1="00000000" w:usb2="00000000" w:usb3="00000000" w:csb0="00000200" w:csb1="00000000"/>
  </w:font>
  <w:font w:name="メイリオ">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w:panose1 w:val="00000000000000000000"/>
    <w:charset w:val="80"/>
    <w:family w:val="swiss"/>
    <w:notTrueType/>
    <w:pitch w:val="fixed"/>
    <w:sig w:usb0="00000000" w:usb1="00000000" w:usb2="00000000" w:usb3="00000000" w:csb0="00000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MS UI Gothic">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27219911"/>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8"/>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682A9C0"/>
    <w:lvl w:ilvl="0" w:tplc="834EA5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2774F286"/>
    <w:lvl w:ilvl="0" w:tplc="E3EA203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A7E48900"/>
    <w:lvl w:ilvl="0" w:tplc="A5A07F42">
      <w:start w:val="1"/>
      <w:numFmt w:val="decimalFullWidth"/>
      <w:lvlText w:val="（%1）"/>
      <w:lvlJc w:val="left"/>
      <w:pPr>
        <w:ind w:left="450" w:hanging="450"/>
      </w:pPr>
      <w:rPr>
        <w:rFonts w:hint="default"/>
        <w:b w:val="1"/>
        <w:color w:val="F79646"/>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84E6F782"/>
    <w:lvl w:ilvl="0" w:tplc="1F34730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B71084A0"/>
    <w:lvl w:ilvl="0" w:tplc="C916D9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61">
          <o:proxy start="" idref="#_x0000_s1050" connectloc="3"/>
          <o:proxy end="" idref="#_x0000_s1051" connectloc="1"/>
        </o:r>
        <o:r id="V:Rule12" type="connector" idref="#_x0000_s1058">
          <o:proxy start="" idref="#_x0000_s1046" connectloc="3"/>
          <o:proxy end="" idref="#_x0000_s1048" connectloc="1"/>
        </o:r>
        <o:r id="V:Rule18" type="connector" idref="#_x0000_s1055">
          <o:proxy start="" idref="#_x0000_s1045" connectloc="3"/>
          <o:proxy end="" idref="#_x0000_s1046" connectloc="1"/>
        </o:r>
        <o:r id="V:Rule20" type="connector" idref="#_x0000_s1037">
          <o:proxy start="" idref="#_x0000_s0" connectloc="-1"/>
          <o:proxy end="" idref="#_x0000_s0" connectloc="-1"/>
        </o:r>
        <o:r id="V:Rule26" type="connector" idref="#_x0000_s1034">
          <o:proxy start="" idref="#_x0000_s0" connectloc="-1"/>
          <o:proxy end="" idref="#_x0000_s0" connectloc="-1"/>
        </o:r>
        <o:r id="V:Rule42" type="connector" idref="#_x0000_s1028">
          <o:proxy start="" idref="#_x0000_s0" connectloc="-1"/>
          <o:proxy end="" idref="#_x0000_s0" connectloc="-1"/>
        </o:r>
        <o:r id="V:Rule46" type="connector" idref="#_x0000_s1060">
          <o:proxy start="" idref="#_x0000_s1045" connectloc="3"/>
          <o:proxy end="" idref="#_x0000_s1050" connectloc="1"/>
        </o:r>
        <o:r id="V:Rule52" type="connector" idref="#_x0000_s1057">
          <o:proxy start="" idref="#_x0000_s1046" connectloc="3"/>
          <o:proxy end="" idref="#_x0000_s1047" connectloc="1"/>
        </o:r>
        <o:r id="V:Rule60" type="connector" idref="#_x0000_s1036">
          <o:proxy start="" idref="#_x0000_s0" connectloc="-1"/>
          <o:proxy end="" idref="#_x0000_s0" connectloc="-1"/>
        </o:r>
        <o:r id="V:Rule68" type="connector" idref="#_x0000_s1033">
          <o:proxy start="" idref="#_x0000_s0" connectloc="-1"/>
          <o:proxy end="" idref="#_x0000_s0" connectloc="-1"/>
        </o:r>
        <o:r id="V:Rule76" type="connector" idref="#_x0000_s1030">
          <o:proxy start="" idref="#_x0000_s0" connectloc="-1"/>
          <o:proxy end="" idref="#_x0000_s0" connectloc="-1"/>
        </o:r>
        <o:r id="V:Rule80" type="connector" idref="#_x0000_s1062">
          <o:proxy start="" idref="#_x0000_s1050" connectloc="3"/>
          <o:proxy end="" idref="#_x0000_s1052" connectloc="1"/>
        </o:r>
        <o:r id="V:Rule88" type="connector" idref="#_x0000_s1059">
          <o:proxy start="" idref="#_x0000_s1046" connectloc="3"/>
          <o:proxy end="" idref="#_x0000_s1049" connectloc="1"/>
        </o:r>
        <o:r id="V:Rule94" type="connector" idref="#_x0000_s1056">
          <o:proxy start="" idref="#_x0000_s1045" connectloc="3"/>
          <o:proxy end="" idref="#_x0000_s1054" connectloc="1"/>
        </o:r>
        <o:r id="V:Rule102" type="connector" idref="#_x0000_s1035">
          <o:proxy start="" idref="#_x0000_s0" connectloc="-1"/>
          <o:proxy end="" idref="#_x0000_s0" connectloc="-1"/>
        </o:r>
        <o:r id="V:Rule110" type="connector" idref="#_x0000_s1032">
          <o:proxy start="" idref="#_x0000_s0" connectloc="-1"/>
          <o:proxy end="" idref="#_x0000_s0" connectloc="-1"/>
        </o:r>
        <o:r id="V:Rule118"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customStyle="1">
    <w:name w:val="一太郎"/>
    <w:next w:val="20"/>
    <w:link w:val="0"/>
    <w:uiPriority w:val="0"/>
    <w:pPr>
      <w:widowControl w:val="0"/>
      <w:wordWrap w:val="0"/>
      <w:autoSpaceDE w:val="0"/>
      <w:autoSpaceDN w:val="0"/>
      <w:adjustRightInd w:val="0"/>
      <w:spacing w:line="306" w:lineRule="exact"/>
      <w:jc w:val="both"/>
    </w:pPr>
    <w:rPr>
      <w:rFonts w:ascii="Century" w:hAnsi="Century" w:eastAsia="HG丸ｺﾞｼｯｸM-PRO"/>
      <w:spacing w:val="3"/>
      <w:kern w:val="0"/>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Grid Table 4 Accent 5"/>
    <w:basedOn w:val="11"/>
    <w:next w:val="25"/>
    <w:link w:val="0"/>
    <w:uiPriority w:val="0"/>
    <w:tblPr>
      <w:tblStyleRowBandSize w:val="1"/>
      <w:tblStyleColBandSize w:val="1"/>
      <w:tblBorders>
        <w:top w:val="single" w:color="8EA9DB" w:themeColor="accent5" w:themeTint="99" w:sz="4" w:space="0"/>
        <w:left w:val="single" w:color="8EA9DB" w:themeColor="accent5" w:themeTint="99" w:sz="4" w:space="0"/>
        <w:bottom w:val="single" w:color="8EA9DB" w:themeColor="accent5" w:themeTint="99" w:sz="4" w:space="0"/>
        <w:right w:val="single" w:color="8EA9DB" w:themeColor="accent5" w:themeTint="99" w:sz="4" w:space="0"/>
        <w:insideH w:val="single" w:color="8EA9DB" w:themeColor="accent5" w:themeTint="99" w:sz="4" w:space="0"/>
        <w:insideV w:val="single" w:color="8EA9DB" w:themeColor="accent5" w:themeTint="99" w:sz="4" w:space="0"/>
      </w:tblBorders>
    </w:tblPr>
    <w:trPr/>
    <w:tcPr/>
    <w:tblStylePr w:type="band1Horz">
      <w:tblPr/>
      <w:trPr/>
      <w:tcPr>
        <w:shd w:val="clear" w:color="auto" w:themeFill="accent5" w:themeFillTint="33" w:themeFillShade="FF"/>
      </w:tcPr>
    </w:tblStylePr>
    <w:tblStylePr w:type="band1Vert">
      <w:tblPr/>
      <w:trPr/>
      <w:tcPr>
        <w:shd w:val="clear" w:color="auto" w:themeFill="accent5"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4472C4" w:themeColor="accent5" w:sz="4" w:space="0"/>
        </w:tcBorders>
      </w:tcPr>
    </w:tblStylePr>
    <w:tblStylePr w:type="firstRow">
      <w:rPr>
        <w:b w:val="1"/>
        <w:color w:val="FFFFFF" w:themeColor="background1"/>
      </w:rPr>
      <w:tblPr/>
      <w:trPr/>
      <w:tcPr>
        <w:tcBorders>
          <w:top w:val="single" w:color="4472C4" w:themeColor="accent5" w:sz="4" w:space="0"/>
          <w:bottom w:val="single" w:color="4472C4" w:themeColor="accent5" w:sz="4" w:space="0"/>
          <w:left w:val="single" w:color="4472C4" w:themeColor="accent5" w:sz="4" w:space="0"/>
          <w:right w:val="single" w:color="4472C4" w:themeColor="accent5" w:sz="4" w:space="0"/>
          <w:insideH w:val="nil"/>
          <w:insideV w:val="nil"/>
        </w:tcBorders>
        <w:shd w:val="clear" w:color="auto" w:themeFill="accent5" w:themeFillTint="FF" w:themeFillShade="FF"/>
      </w:tcPr>
    </w:tblStylePr>
  </w:style>
  <w:style w:type="table" w:styleId="26" w:customStyle="1">
    <w:name w:val="Grid Table 6 Colorful Accent 5"/>
    <w:basedOn w:val="11"/>
    <w:next w:val="26"/>
    <w:link w:val="0"/>
    <w:uiPriority w:val="0"/>
    <w:rPr>
      <w:color w:val="2F5395" w:themeColor="accent5" w:themeShade="BF"/>
    </w:rPr>
    <w:tblPr>
      <w:tblStyleRowBandSize w:val="1"/>
      <w:tblStyleColBandSize w:val="1"/>
      <w:tblBorders>
        <w:top w:val="single" w:color="8EA9DB" w:themeColor="accent5" w:themeTint="99" w:sz="4" w:space="0"/>
        <w:left w:val="single" w:color="8EA9DB" w:themeColor="accent5" w:themeTint="99" w:sz="4" w:space="0"/>
        <w:bottom w:val="single" w:color="8EA9DB" w:themeColor="accent5" w:themeTint="99" w:sz="4" w:space="0"/>
        <w:right w:val="single" w:color="8EA9DB" w:themeColor="accent5" w:themeTint="99" w:sz="4" w:space="0"/>
        <w:insideH w:val="single" w:color="8EA9DB" w:themeColor="accent5" w:themeTint="99" w:sz="4" w:space="0"/>
        <w:insideV w:val="single" w:color="8EA9DB" w:themeColor="accent5" w:themeTint="99" w:sz="4" w:space="0"/>
      </w:tblBorders>
    </w:tblPr>
    <w:trPr/>
    <w:tcPr/>
    <w:tblStylePr w:type="band1Horz">
      <w:tblPr/>
      <w:trPr/>
      <w:tcPr>
        <w:shd w:val="clear" w:color="auto" w:themeFill="accent5" w:themeFillTint="33" w:themeFillShade="FF"/>
      </w:tcPr>
    </w:tblStylePr>
    <w:tblStylePr w:type="band1Vert">
      <w:tblPr/>
      <w:trPr/>
      <w:tcPr>
        <w:shd w:val="clear" w:color="auto" w:themeFill="accent5"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8EA9DB" w:themeColor="accent5" w:themeTint="99" w:sz="4" w:space="0"/>
        </w:tcBorders>
      </w:tcPr>
    </w:tblStylePr>
    <w:tblStylePr w:type="firstRow">
      <w:rPr>
        <w:b w:val="1"/>
      </w:rPr>
      <w:tblPr/>
      <w:trPr/>
      <w:tcPr>
        <w:tcBorders>
          <w:bottom w:val="single" w:color="8EA9DB" w:themeColor="accent5" w:themeTint="99" w:sz="12" w:space="0"/>
        </w:tcBorders>
      </w:tcPr>
    </w:tblStylePr>
  </w:style>
  <w:style w:type="table" w:styleId="27" w:customStyle="1">
    <w:name w:val="Grid Table 6 Colorful Accent 1"/>
    <w:basedOn w:val="11"/>
    <w:next w:val="27"/>
    <w:link w:val="0"/>
    <w:uiPriority w:val="0"/>
    <w:rPr>
      <w:color w:val="2E74B4" w:themeColor="accent1" w:themeShade="BF"/>
    </w:rPr>
    <w:tblPr>
      <w:tblStyleRowBandSize w:val="1"/>
      <w:tblStyleColBandSize w:val="1"/>
      <w:tblBorders>
        <w:top w:val="single" w:color="9BC2E6" w:themeColor="accent1" w:themeTint="99" w:sz="4" w:space="0"/>
        <w:left w:val="single" w:color="9BC2E6" w:themeColor="accent1" w:themeTint="99" w:sz="4" w:space="0"/>
        <w:bottom w:val="single" w:color="9BC2E6" w:themeColor="accent1" w:themeTint="99" w:sz="4" w:space="0"/>
        <w:right w:val="single" w:color="9BC2E6" w:themeColor="accent1" w:themeTint="99" w:sz="4" w:space="0"/>
        <w:insideH w:val="single" w:color="9BC2E6" w:themeColor="accent1" w:themeTint="99" w:sz="4" w:space="0"/>
        <w:insideV w:val="single" w:color="9BC2E6" w:themeColor="accent1" w:themeTint="99" w:sz="4" w:space="0"/>
      </w:tblBorders>
    </w:tblPr>
    <w:trPr/>
    <w:tcPr/>
    <w:tblStylePr w:type="band1Horz">
      <w:tblPr/>
      <w:trPr/>
      <w:tcPr>
        <w:shd w:val="clear" w:color="auto" w:themeFill="accent1" w:themeFillTint="33" w:themeFillShade="FF"/>
      </w:tcPr>
    </w:tblStylePr>
    <w:tblStylePr w:type="band1Vert">
      <w:tblPr/>
      <w:trPr/>
      <w:tcPr>
        <w:shd w:val="clear" w:color="auto" w:themeFill="accent1"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9BC2E6" w:themeColor="accent1" w:themeTint="99" w:sz="4" w:space="0"/>
        </w:tcBorders>
      </w:tcPr>
    </w:tblStylePr>
    <w:tblStylePr w:type="firstRow">
      <w:rPr>
        <w:b w:val="1"/>
      </w:rPr>
      <w:tblPr/>
      <w:trPr/>
      <w:tcPr>
        <w:tcBorders>
          <w:bottom w:val="single" w:color="9BC2E6" w:themeColor="accent1" w:themeTint="99" w:sz="12" w:space="0"/>
        </w:tcBorders>
      </w:tcPr>
    </w:tblStylePr>
  </w:style>
  <w:style w:type="table" w:styleId="28" w:customStyle="1">
    <w:name w:val="Grid Table 6 Colorful Accent 6"/>
    <w:basedOn w:val="11"/>
    <w:next w:val="28"/>
    <w:link w:val="0"/>
    <w:uiPriority w:val="0"/>
    <w:rPr>
      <w:color w:val="548235" w:themeColor="accent6" w:themeShade="BF"/>
    </w:rPr>
    <w:tblPr>
      <w:tblStyleRowBandSize w:val="1"/>
      <w:tblStyleColBandSize w:val="1"/>
      <w:tblBorders>
        <w:top w:val="single" w:color="A9D08E" w:themeColor="accent6" w:themeTint="99" w:sz="4" w:space="0"/>
        <w:left w:val="single" w:color="A9D08E" w:themeColor="accent6" w:themeTint="99" w:sz="4" w:space="0"/>
        <w:bottom w:val="single" w:color="A9D08E" w:themeColor="accent6" w:themeTint="99" w:sz="4" w:space="0"/>
        <w:right w:val="single" w:color="A9D08E" w:themeColor="accent6" w:themeTint="99" w:sz="4" w:space="0"/>
        <w:insideH w:val="single" w:color="A9D08E" w:themeColor="accent6" w:themeTint="99" w:sz="4" w:space="0"/>
        <w:insideV w:val="single" w:color="A9D08E" w:themeColor="accent6" w:themeTint="99" w:sz="4" w:space="0"/>
      </w:tblBorders>
    </w:tblPr>
    <w:trPr/>
    <w:tcPr/>
    <w:tblStylePr w:type="band1Horz">
      <w:tblPr/>
      <w:trPr/>
      <w:tcPr>
        <w:shd w:val="clear" w:color="auto" w:themeFill="accent6" w:themeFillTint="33" w:themeFillShade="FF"/>
      </w:tcPr>
    </w:tblStylePr>
    <w:tblStylePr w:type="band1Vert">
      <w:tblPr/>
      <w:trPr/>
      <w:tcPr>
        <w:shd w:val="clear" w:color="auto" w:themeFill="accent6"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A9D08E" w:themeColor="accent6" w:themeTint="99" w:sz="4" w:space="0"/>
        </w:tcBorders>
      </w:tcPr>
    </w:tblStylePr>
    <w:tblStylePr w:type="firstRow">
      <w:rPr>
        <w:b w:val="1"/>
      </w:rPr>
      <w:tblPr/>
      <w:trPr/>
      <w:tcPr>
        <w:tcBorders>
          <w:bottom w:val="single" w:color="A9D08E" w:themeColor="accent6" w:themeTint="99" w:sz="12" w:space="0"/>
        </w:tcBorders>
      </w:tcPr>
    </w:tblStylePr>
  </w:style>
  <w:style w:type="table" w:styleId="29" w:customStyle="1">
    <w:name w:val="グリッド (表) 1 淡色 - アクセント 12"/>
    <w:basedOn w:val="11"/>
    <w:next w:val="29"/>
    <w:link w:val="0"/>
    <w:uiPriority w:val="0"/>
    <w:rPr>
      <w:rFonts w:ascii="Century" w:hAnsi="Century" w:eastAsia="ＭＳ 明朝"/>
      <w:kern w:val="0"/>
      <w:sz w:val="20"/>
    </w:rPr>
    <w:tblPr>
      <w:tblStyleRowBandSize w:val="1"/>
      <w:tblStyleColBandSize w:val="1"/>
      <w:tblBorders>
        <w:top w:val="single" w:color="BDD7EE" w:themeColor="accent1" w:themeTint="66" w:sz="4" w:space="0"/>
        <w:left w:val="single" w:color="BDD7EE" w:themeColor="accent1" w:themeTint="66" w:sz="4" w:space="0"/>
        <w:bottom w:val="single" w:color="BDD7EE" w:themeColor="accent1" w:themeTint="66" w:sz="4" w:space="0"/>
        <w:right w:val="single" w:color="BDD7EE" w:themeColor="accent1" w:themeTint="66" w:sz="4" w:space="0"/>
        <w:insideH w:val="single" w:color="BDD7EE" w:themeColor="accent1" w:themeTint="66" w:sz="4" w:space="0"/>
        <w:insideV w:val="single" w:color="BDD7EE" w:themeColor="accent1" w:themeTint="66"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9BC2E6" w:themeColor="accent1" w:themeTint="99" w:sz="2" w:space="0"/>
        </w:tcBorders>
      </w:tcPr>
    </w:tblStylePr>
    <w:tblStylePr w:type="firstRow">
      <w:rPr>
        <w:b w:val="1"/>
      </w:rPr>
      <w:tblPr/>
      <w:trPr/>
      <w:tcPr>
        <w:tcBorders>
          <w:bottom w:val="single" w:color="9BC2E6" w:themeColor="accent1" w:themeTint="99" w:sz="12" w:space="0"/>
        </w:tcBorders>
      </w:tcPr>
    </w:tblStylePr>
  </w:style>
  <w:style w:type="table" w:styleId="30" w:customStyle="1">
    <w:name w:val="グリッド (表) 1 淡色 - アクセント 11"/>
    <w:basedOn w:val="11"/>
    <w:next w:val="30"/>
    <w:link w:val="0"/>
    <w:uiPriority w:val="0"/>
    <w:tblPr>
      <w:tblStyleRowBandSize w:val="1"/>
      <w:tblStyleColBandSize w:val="1"/>
      <w:tblBorders>
        <w:top w:val="single" w:color="BDD7EE" w:themeColor="accent1" w:themeTint="66" w:sz="4" w:space="0"/>
        <w:left w:val="single" w:color="BDD7EE" w:themeColor="accent1" w:themeTint="66" w:sz="4" w:space="0"/>
        <w:bottom w:val="single" w:color="BDD7EE" w:themeColor="accent1" w:themeTint="66" w:sz="4" w:space="0"/>
        <w:right w:val="single" w:color="BDD7EE" w:themeColor="accent1" w:themeTint="66" w:sz="4" w:space="0"/>
        <w:insideH w:val="single" w:color="BDD7EE" w:themeColor="accent1" w:themeTint="66" w:sz="4" w:space="0"/>
        <w:insideV w:val="single" w:color="BDD7EE" w:themeColor="accent1" w:themeTint="66"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9BC2E6" w:themeColor="accent1" w:themeTint="99" w:sz="2" w:space="0"/>
        </w:tcBorders>
      </w:tcPr>
    </w:tblStylePr>
    <w:tblStylePr w:type="firstRow">
      <w:rPr>
        <w:b w:val="1"/>
      </w:rPr>
      <w:tblPr/>
      <w:trPr/>
      <w:tcPr>
        <w:tcBorders>
          <w:bottom w:val="single" w:color="9BC2E6" w:themeColor="accent1" w:themeTint="99" w:sz="12" w:space="0"/>
        </w:tcBorders>
      </w:tcPr>
    </w:tblStyle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1.emf" /><Relationship Id="rId9" Type="http://schemas.openxmlformats.org/officeDocument/2006/relationships/image" Target="media/image2.emf" /><Relationship Id="rId10" Type="http://schemas.openxmlformats.org/officeDocument/2006/relationships/image" Target="media/image3.emf" /><Relationship Id="rId11" Type="http://schemas.openxmlformats.org/officeDocument/2006/relationships/image" Target="media/image4.emf" /><Relationship Id="rId12" Type="http://schemas.openxmlformats.org/officeDocument/2006/relationships/image" Target="media/image5.emf" /><Relationship Id="rId13" Type="http://schemas.openxmlformats.org/officeDocument/2006/relationships/image" Target="media/image6.emf" /><Relationship Id="rId14" Type="http://schemas.openxmlformats.org/officeDocument/2006/relationships/image" Target="media/image7.emf" /><Relationship Id="rId15" Type="http://schemas.openxmlformats.org/officeDocument/2006/relationships/image" Target="media/image8.emf" /><Relationship Id="rId16" Type="http://schemas.openxmlformats.org/officeDocument/2006/relationships/image" Target="media/image9.emf" /><Relationship Id="rId17" Type="http://schemas.openxmlformats.org/officeDocument/2006/relationships/image" Target="media/image10.emf" /><Relationship Id="rId18" Type="http://schemas.openxmlformats.org/officeDocument/2006/relationships/image" Target="media/image11.emf" /><Relationship Id="rId19" Type="http://schemas.openxmlformats.org/officeDocument/2006/relationships/image" Target="media/image12.emf" /><Relationship Id="rId20" Type="http://schemas.openxmlformats.org/officeDocument/2006/relationships/image" Target="media/image13.emf" /><Relationship Id="rId21" Type="http://schemas.openxmlformats.org/officeDocument/2006/relationships/image" Target="media/image14.emf" /><Relationship Id="rId22" Type="http://schemas.openxmlformats.org/officeDocument/2006/relationships/image" Target="media/image15.emf" /><Relationship Id="rId23" Type="http://schemas.openxmlformats.org/officeDocument/2006/relationships/image" Target="media/image16.emf" /><Relationship Id="rId24" Type="http://schemas.openxmlformats.org/officeDocument/2006/relationships/image" Target="media/image17.emf" /><Relationship Id="rId25" Type="http://schemas.openxmlformats.org/officeDocument/2006/relationships/image" Target="media/image18.emf" /><Relationship Id="rId26" Type="http://schemas.openxmlformats.org/officeDocument/2006/relationships/image" Target="media/image19.emf" /><Relationship Id="rId27" Type="http://schemas.openxmlformats.org/officeDocument/2006/relationships/image" Target="media/image20.emf" /><Relationship Id="rId28" Type="http://schemas.openxmlformats.org/officeDocument/2006/relationships/image" Target="media/image21.emf" /><Relationship Id="rId29" Type="http://schemas.openxmlformats.org/officeDocument/2006/relationships/image" Target="media/image22.emf" /><Relationship Id="rId30" Type="http://schemas.openxmlformats.org/officeDocument/2006/relationships/image" Target="media/image23.emf" /><Relationship Id="rId31" Type="http://schemas.openxmlformats.org/officeDocument/2006/relationships/image" Target="media/image24.emf" /><Relationship Id="rId32" Type="http://schemas.openxmlformats.org/officeDocument/2006/relationships/image" Target="media/image25.emf" /><Relationship Id="rId33" Type="http://schemas.openxmlformats.org/officeDocument/2006/relationships/image" Target="media/image26.emf" /><Relationship Id="rId3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TotalTime>
  <Pages>28</Pages>
  <Words>254</Words>
  <Characters>10468</Characters>
  <Application>JUST Note</Application>
  <Lines>15473</Lines>
  <Paragraphs>301</Paragraphs>
  <CharactersWithSpaces>10725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BZPC-009</dc:creator>
  <cp:lastModifiedBy>shimusoumu</cp:lastModifiedBy>
  <cp:lastPrinted>2020-12-25T03:35:00Z</cp:lastPrinted>
  <dcterms:created xsi:type="dcterms:W3CDTF">2021-10-02T07:46:00Z</dcterms:created>
  <dcterms:modified xsi:type="dcterms:W3CDTF">2022-03-29T04:14:55Z</dcterms:modified>
  <cp:revision>18</cp:revision>
</cp:coreProperties>
</file>